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960" w:rsidRPr="00CD3A7C" w:rsidRDefault="009E54D9" w:rsidP="00B349A0">
      <w:pPr>
        <w:spacing w:line="360" w:lineRule="auto"/>
        <w:ind w:firstLine="720"/>
        <w:rPr>
          <w:rFonts w:ascii="Times New Roman" w:hAnsi="Times New Roman"/>
          <w:b/>
          <w:sz w:val="24"/>
          <w:szCs w:val="24"/>
        </w:rPr>
      </w:pPr>
      <w:r>
        <w:rPr>
          <w:rFonts w:ascii="Times New Roman" w:hAnsi="Times New Roman"/>
          <w:b/>
          <w:sz w:val="24"/>
          <w:szCs w:val="24"/>
        </w:rPr>
        <w:t>S</w:t>
      </w:r>
      <w:r w:rsidR="00CD3A7C" w:rsidRPr="00CD3A7C">
        <w:rPr>
          <w:rFonts w:ascii="Times New Roman" w:hAnsi="Times New Roman"/>
          <w:b/>
          <w:sz w:val="24"/>
          <w:szCs w:val="24"/>
        </w:rPr>
        <w:t>isteme</w:t>
      </w:r>
      <w:r w:rsidR="002C0FBB">
        <w:rPr>
          <w:rFonts w:ascii="Times New Roman" w:hAnsi="Times New Roman"/>
          <w:b/>
          <w:sz w:val="24"/>
          <w:szCs w:val="24"/>
        </w:rPr>
        <w:t xml:space="preserve">le </w:t>
      </w:r>
      <w:r w:rsidR="00CD3A7C" w:rsidRPr="00CD3A7C">
        <w:rPr>
          <w:rFonts w:ascii="Times New Roman" w:hAnsi="Times New Roman"/>
          <w:b/>
          <w:sz w:val="24"/>
          <w:szCs w:val="24"/>
        </w:rPr>
        <w:t>integrate cu pompe de căldură</w:t>
      </w:r>
      <w:r>
        <w:rPr>
          <w:rFonts w:ascii="Times New Roman" w:hAnsi="Times New Roman"/>
          <w:b/>
          <w:sz w:val="24"/>
          <w:szCs w:val="24"/>
        </w:rPr>
        <w:t xml:space="preserve"> </w:t>
      </w:r>
      <w:r w:rsidR="002C0FBB">
        <w:rPr>
          <w:rFonts w:ascii="Times New Roman" w:hAnsi="Times New Roman"/>
          <w:b/>
          <w:sz w:val="24"/>
          <w:szCs w:val="24"/>
        </w:rPr>
        <w:t>pot reduce emisiile de gaze cu efect de seră</w:t>
      </w:r>
    </w:p>
    <w:p w:rsidR="00CD3A7C" w:rsidRPr="00CD3A7C" w:rsidRDefault="00CD3A7C" w:rsidP="00CD3A7C">
      <w:pPr>
        <w:spacing w:line="360" w:lineRule="auto"/>
        <w:rPr>
          <w:rFonts w:ascii="Times New Roman" w:hAnsi="Times New Roman"/>
          <w:sz w:val="24"/>
          <w:szCs w:val="24"/>
        </w:rPr>
      </w:pPr>
    </w:p>
    <w:p w:rsidR="006A073F" w:rsidRDefault="00A60332" w:rsidP="006A073F">
      <w:pPr>
        <w:spacing w:line="360" w:lineRule="auto"/>
        <w:ind w:firstLine="720"/>
        <w:rPr>
          <w:rFonts w:ascii="Times New Roman" w:hAnsi="Times New Roman"/>
          <w:sz w:val="24"/>
          <w:szCs w:val="24"/>
        </w:rPr>
      </w:pPr>
      <w:r>
        <w:rPr>
          <w:rFonts w:ascii="Times New Roman" w:hAnsi="Times New Roman"/>
          <w:sz w:val="24"/>
          <w:szCs w:val="24"/>
        </w:rPr>
        <w:t xml:space="preserve">Autor: </w:t>
      </w:r>
      <w:r w:rsidR="00CD3A7C" w:rsidRPr="006A073F">
        <w:rPr>
          <w:rFonts w:ascii="Times New Roman" w:hAnsi="Times New Roman"/>
          <w:sz w:val="24"/>
          <w:szCs w:val="24"/>
        </w:rPr>
        <w:t>Adrian Tan</w:t>
      </w:r>
      <w:r w:rsidR="00574196" w:rsidRPr="006A073F">
        <w:rPr>
          <w:rFonts w:ascii="Times New Roman" w:hAnsi="Times New Roman"/>
          <w:sz w:val="24"/>
          <w:szCs w:val="24"/>
        </w:rPr>
        <w:t>ță</w:t>
      </w:r>
      <w:r w:rsidR="006A073F">
        <w:rPr>
          <w:rFonts w:ascii="Times New Roman" w:hAnsi="Times New Roman"/>
          <w:sz w:val="24"/>
          <w:szCs w:val="24"/>
        </w:rPr>
        <w:t>u</w:t>
      </w:r>
    </w:p>
    <w:p w:rsidR="00FA1DF3" w:rsidRDefault="00FA1DF3" w:rsidP="006A073F">
      <w:pPr>
        <w:spacing w:line="360" w:lineRule="auto"/>
        <w:ind w:firstLine="720"/>
        <w:rPr>
          <w:rFonts w:ascii="Times New Roman" w:hAnsi="Times New Roman"/>
          <w:sz w:val="24"/>
          <w:szCs w:val="24"/>
        </w:rPr>
      </w:pPr>
    </w:p>
    <w:p w:rsidR="006A073F" w:rsidRPr="006A073F" w:rsidRDefault="00CD3A7C" w:rsidP="006A073F">
      <w:pPr>
        <w:spacing w:line="360" w:lineRule="auto"/>
        <w:ind w:left="720"/>
        <w:rPr>
          <w:rFonts w:ascii="Times New Roman" w:hAnsi="Times New Roman"/>
          <w:sz w:val="24"/>
          <w:szCs w:val="24"/>
        </w:rPr>
      </w:pPr>
      <w:r w:rsidRPr="006A073F">
        <w:rPr>
          <w:rFonts w:ascii="Times New Roman" w:hAnsi="Times New Roman"/>
          <w:sz w:val="24"/>
          <w:szCs w:val="24"/>
        </w:rPr>
        <w:t>Director</w:t>
      </w:r>
      <w:r w:rsidR="00A60332">
        <w:rPr>
          <w:rFonts w:ascii="Times New Roman" w:hAnsi="Times New Roman"/>
          <w:sz w:val="24"/>
          <w:szCs w:val="24"/>
        </w:rPr>
        <w:t>ul</w:t>
      </w:r>
      <w:r w:rsidR="006A073F" w:rsidRPr="006A073F">
        <w:rPr>
          <w:rFonts w:ascii="Times New Roman" w:hAnsi="Times New Roman"/>
          <w:sz w:val="24"/>
          <w:szCs w:val="24"/>
        </w:rPr>
        <w:t xml:space="preserve"> Proiectului </w:t>
      </w:r>
      <w:r w:rsidR="006A073F">
        <w:rPr>
          <w:rFonts w:ascii="Times New Roman" w:hAnsi="Times New Roman"/>
          <w:sz w:val="24"/>
          <w:szCs w:val="24"/>
        </w:rPr>
        <w:t>“</w:t>
      </w:r>
      <w:r w:rsidR="006A073F" w:rsidRPr="006A073F">
        <w:rPr>
          <w:rFonts w:ascii="Times New Roman" w:hAnsi="Times New Roman"/>
          <w:bCs/>
          <w:sz w:val="24"/>
          <w:szCs w:val="24"/>
          <w:lang w:val="ro-RO"/>
        </w:rPr>
        <w:t>The potential for starting and developing a business for integrated technology based on heat pumps (HP), thermal energy storage and smart control systems in order to enable the decarbonization in Romania</w:t>
      </w:r>
      <w:r w:rsidR="006A073F">
        <w:rPr>
          <w:rFonts w:ascii="Times New Roman" w:hAnsi="Times New Roman"/>
          <w:bCs/>
          <w:sz w:val="24"/>
          <w:szCs w:val="24"/>
          <w:lang w:val="ro-RO"/>
        </w:rPr>
        <w:t>”</w:t>
      </w:r>
      <w:r w:rsidR="006A073F" w:rsidRPr="006A073F">
        <w:rPr>
          <w:rFonts w:ascii="Times New Roman" w:hAnsi="Times New Roman"/>
          <w:bCs/>
          <w:sz w:val="24"/>
          <w:szCs w:val="24"/>
          <w:lang w:val="ro-RO"/>
        </w:rPr>
        <w:t xml:space="preserve">, finanțat de EEA and Norway Grants 2014-2021, Fund for Bilateral Relations, </w:t>
      </w:r>
      <w:r w:rsidR="006A073F" w:rsidRPr="006A073F">
        <w:rPr>
          <w:rFonts w:ascii="Times New Roman" w:hAnsi="Times New Roman"/>
          <w:sz w:val="24"/>
          <w:szCs w:val="24"/>
        </w:rPr>
        <w:t>Contract: 132.477/ 16.12.2022</w:t>
      </w:r>
    </w:p>
    <w:p w:rsidR="006A073F" w:rsidRPr="006A073F" w:rsidRDefault="006A073F" w:rsidP="00B349A0">
      <w:pPr>
        <w:spacing w:line="360" w:lineRule="auto"/>
        <w:ind w:firstLine="720"/>
        <w:rPr>
          <w:rFonts w:ascii="Times New Roman" w:hAnsi="Times New Roman"/>
          <w:sz w:val="24"/>
          <w:szCs w:val="24"/>
        </w:rPr>
      </w:pPr>
    </w:p>
    <w:p w:rsidR="00CD3A7C" w:rsidRPr="00CD3A7C" w:rsidRDefault="00CD3A7C" w:rsidP="00CD3A7C">
      <w:pPr>
        <w:spacing w:line="360" w:lineRule="auto"/>
        <w:rPr>
          <w:rFonts w:ascii="Times New Roman" w:hAnsi="Times New Roman"/>
          <w:sz w:val="24"/>
          <w:szCs w:val="24"/>
        </w:rPr>
      </w:pPr>
    </w:p>
    <w:p w:rsidR="00CD3A7C" w:rsidRPr="007B7778" w:rsidRDefault="007B7778" w:rsidP="00CD3A7C">
      <w:pPr>
        <w:spacing w:line="360" w:lineRule="auto"/>
        <w:rPr>
          <w:rFonts w:ascii="Times New Roman" w:hAnsi="Times New Roman"/>
          <w:b/>
          <w:sz w:val="24"/>
          <w:szCs w:val="24"/>
        </w:rPr>
      </w:pPr>
      <w:r w:rsidRPr="007B7778">
        <w:rPr>
          <w:rFonts w:ascii="Times New Roman" w:hAnsi="Times New Roman"/>
          <w:b/>
          <w:sz w:val="24"/>
          <w:szCs w:val="24"/>
        </w:rPr>
        <w:tab/>
        <w:t>Sinteză</w:t>
      </w:r>
      <w:r w:rsidR="00FD3B4F">
        <w:rPr>
          <w:rFonts w:ascii="Times New Roman" w:hAnsi="Times New Roman"/>
          <w:b/>
          <w:sz w:val="24"/>
          <w:szCs w:val="24"/>
        </w:rPr>
        <w:t xml:space="preserve"> peer review</w:t>
      </w:r>
    </w:p>
    <w:p w:rsidR="00D830EB" w:rsidRDefault="00CD3A7C" w:rsidP="00CD3A7C">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Sistemele integrate bazate pe pompe de căldură reprezintă o tehnologie care integrează pompele de căldură cu panouri fotovoltaice, echipamente de stocare a energiei termice și instrumente de control inteligente. Acestea reprezintă o tehnologie curată</w:t>
      </w:r>
      <w:r w:rsidR="00571F30">
        <w:rPr>
          <w:rFonts w:ascii="Times New Roman" w:hAnsi="Times New Roman"/>
          <w:sz w:val="24"/>
          <w:szCs w:val="24"/>
        </w:rPr>
        <w:t>,</w:t>
      </w:r>
      <w:r>
        <w:rPr>
          <w:rFonts w:ascii="Times New Roman" w:hAnsi="Times New Roman"/>
          <w:sz w:val="24"/>
          <w:szCs w:val="24"/>
        </w:rPr>
        <w:t xml:space="preserve"> care poate fi utilizată pentru î</w:t>
      </w:r>
      <w:r w:rsidR="005C2E4A">
        <w:rPr>
          <w:rFonts w:ascii="Times New Roman" w:hAnsi="Times New Roman"/>
          <w:sz w:val="24"/>
          <w:szCs w:val="24"/>
        </w:rPr>
        <w:t>ncălzirea și răcirea clădirilor, având numeroase aplicații.</w:t>
      </w:r>
    </w:p>
    <w:p w:rsidR="00547038" w:rsidRPr="00547038" w:rsidRDefault="00D830EB" w:rsidP="00547038">
      <w:pPr>
        <w:autoSpaceDE w:val="0"/>
        <w:autoSpaceDN w:val="0"/>
        <w:adjustRightInd w:val="0"/>
        <w:spacing w:line="360" w:lineRule="auto"/>
        <w:ind w:firstLine="720"/>
        <w:rPr>
          <w:rFonts w:ascii="Times New Roman" w:hAnsi="Times New Roman"/>
          <w:sz w:val="24"/>
          <w:szCs w:val="24"/>
          <w:shd w:val="clear" w:color="auto" w:fill="FFFFFF"/>
          <w:lang w:eastAsia="ro-RO" w:bidi="hi-IN"/>
        </w:rPr>
      </w:pPr>
      <w:r>
        <w:rPr>
          <w:rFonts w:ascii="Times New Roman" w:hAnsi="Times New Roman"/>
          <w:sz w:val="24"/>
          <w:szCs w:val="24"/>
        </w:rPr>
        <w:t>Acest articol reprezintă o sinteză a analizei principalelor studii identificate în literatura de specialitate privind utilizarea pompelor de căldură în vederea reducerii emisiilor de gaze cu efect de seră de tipul CO</w:t>
      </w:r>
      <w:r w:rsidRPr="00D830EB">
        <w:rPr>
          <w:rFonts w:ascii="Times New Roman" w:hAnsi="Times New Roman"/>
          <w:sz w:val="24"/>
          <w:szCs w:val="24"/>
          <w:vertAlign w:val="subscript"/>
        </w:rPr>
        <w:t>2</w:t>
      </w:r>
      <w:r>
        <w:rPr>
          <w:rFonts w:ascii="Times New Roman" w:hAnsi="Times New Roman"/>
          <w:sz w:val="24"/>
          <w:szCs w:val="24"/>
        </w:rPr>
        <w:t xml:space="preserve"> și gazele HFC, contribuind la impactul direct sau indirect asupra sănătății populației.   </w:t>
      </w:r>
      <w:r w:rsidR="000A4B70">
        <w:rPr>
          <w:rFonts w:ascii="Times New Roman" w:hAnsi="Times New Roman"/>
          <w:sz w:val="24"/>
          <w:szCs w:val="24"/>
        </w:rPr>
        <w:t>Din punct de vedere științific emisiile sunt evaluate cu ajutorul efectului antropogenic al gazelor cu efect de seră (</w:t>
      </w:r>
      <w:r w:rsidR="000A4B70" w:rsidRPr="00893D9C">
        <w:rPr>
          <w:rFonts w:ascii="Times New Roman" w:hAnsi="Times New Roman"/>
          <w:sz w:val="24"/>
          <w:szCs w:val="24"/>
          <w:shd w:val="clear" w:color="auto" w:fill="FFFFFF"/>
          <w:lang w:eastAsia="ro-RO" w:bidi="hi-IN"/>
        </w:rPr>
        <w:t>Bayer et al.2012).</w:t>
      </w:r>
      <w:r w:rsidR="00547038">
        <w:rPr>
          <w:rFonts w:ascii="Times New Roman" w:hAnsi="Times New Roman"/>
          <w:sz w:val="24"/>
          <w:szCs w:val="24"/>
          <w:shd w:val="clear" w:color="auto" w:fill="FFFFFF"/>
          <w:lang w:eastAsia="ro-RO" w:bidi="hi-IN"/>
        </w:rPr>
        <w:t xml:space="preserve"> Dioxidul de carbon este al doilea cel mai important gaz cu efect de seră, care influențează direct procesul de încălzire globală  </w:t>
      </w:r>
      <w:r w:rsidR="00547038" w:rsidRPr="00547038">
        <w:rPr>
          <w:rFonts w:ascii="Times New Roman" w:hAnsi="Times New Roman"/>
          <w:sz w:val="24"/>
          <w:szCs w:val="24"/>
          <w:shd w:val="clear" w:color="auto" w:fill="FFFFFF"/>
          <w:lang w:eastAsia="ro-RO" w:bidi="hi-IN"/>
        </w:rPr>
        <w:t>(</w:t>
      </w:r>
      <w:r w:rsidR="00547038" w:rsidRPr="00893D9C">
        <w:rPr>
          <w:rFonts w:ascii="Times New Roman" w:hAnsi="Times New Roman"/>
          <w:sz w:val="24"/>
          <w:szCs w:val="24"/>
          <w:shd w:val="clear" w:color="auto" w:fill="FFFFFF"/>
          <w:lang w:val="ro-RO" w:eastAsia="ro-RO" w:bidi="hi-IN"/>
        </w:rPr>
        <w:t>Levihn, 2014, Marotzke, 2014</w:t>
      </w:r>
      <w:r w:rsidR="00547038">
        <w:rPr>
          <w:rFonts w:ascii="Times New Roman" w:hAnsi="Times New Roman"/>
          <w:sz w:val="24"/>
          <w:szCs w:val="24"/>
          <w:shd w:val="clear" w:color="auto" w:fill="FFFFFF"/>
          <w:lang w:val="ro-RO" w:eastAsia="ro-RO" w:bidi="hi-IN"/>
        </w:rPr>
        <w:t xml:space="preserve">, </w:t>
      </w:r>
      <w:r w:rsidR="00547038" w:rsidRPr="00547038">
        <w:rPr>
          <w:rFonts w:ascii="Times New Roman" w:hAnsi="Times New Roman"/>
          <w:sz w:val="24"/>
          <w:szCs w:val="24"/>
          <w:shd w:val="clear" w:color="auto" w:fill="FFFFFF"/>
          <w:lang w:eastAsia="ro-RO" w:bidi="hi-IN"/>
        </w:rPr>
        <w:t>Vallero, 2014; Stern &amp; Kaufman, 2014).</w:t>
      </w:r>
    </w:p>
    <w:p w:rsidR="00D830EB" w:rsidRPr="00207340" w:rsidRDefault="00D830EB" w:rsidP="00CD3A7C">
      <w:pPr>
        <w:autoSpaceDE w:val="0"/>
        <w:autoSpaceDN w:val="0"/>
        <w:adjustRightInd w:val="0"/>
        <w:spacing w:line="360" w:lineRule="auto"/>
        <w:ind w:firstLine="720"/>
        <w:rPr>
          <w:rFonts w:ascii="Times New Roman" w:hAnsi="Times New Roman"/>
          <w:sz w:val="24"/>
          <w:szCs w:val="24"/>
          <w:lang w:val="de-DE"/>
        </w:rPr>
      </w:pPr>
      <w:r>
        <w:rPr>
          <w:rFonts w:ascii="Times New Roman" w:hAnsi="Times New Roman"/>
          <w:sz w:val="24"/>
          <w:szCs w:val="24"/>
        </w:rPr>
        <w:t>In calitate de convertor de energie sistemele integrate cu pompe de căldură pot acoper</w:t>
      </w:r>
      <w:bookmarkStart w:id="0" w:name="_GoBack"/>
      <w:bookmarkEnd w:id="0"/>
      <w:r>
        <w:rPr>
          <w:rFonts w:ascii="Times New Roman" w:hAnsi="Times New Roman"/>
          <w:sz w:val="24"/>
          <w:szCs w:val="24"/>
        </w:rPr>
        <w:t xml:space="preserve">i zona de căldură și electricitate mult mai eficient decât echipamentele clasice de tipul centralelor termice care funcționează cu gaz natural sau păcura și boilerele electrice. </w:t>
      </w:r>
      <w:r w:rsidRPr="00207340">
        <w:rPr>
          <w:rFonts w:ascii="Times New Roman" w:hAnsi="Times New Roman"/>
          <w:sz w:val="24"/>
          <w:szCs w:val="24"/>
          <w:lang w:val="de-DE"/>
        </w:rPr>
        <w:t xml:space="preserve">Ele preiau cea mai mare parte a energiei necesare funcționării sistemului din surse regenerabile de energie de tipul aerului, </w:t>
      </w:r>
      <w:r w:rsidR="00207340" w:rsidRPr="00207340">
        <w:rPr>
          <w:rFonts w:ascii="Times New Roman" w:hAnsi="Times New Roman"/>
          <w:sz w:val="24"/>
          <w:szCs w:val="24"/>
          <w:lang w:val="de-DE"/>
        </w:rPr>
        <w:t xml:space="preserve">apei sau energiei geotermale. </w:t>
      </w:r>
      <w:r w:rsidR="00207340">
        <w:rPr>
          <w:rFonts w:ascii="Times New Roman" w:hAnsi="Times New Roman"/>
          <w:sz w:val="24"/>
          <w:szCs w:val="24"/>
          <w:lang w:val="de-DE"/>
        </w:rPr>
        <w:t>De asemenea, electricitatea este ne</w:t>
      </w:r>
      <w:r w:rsidR="00A06522">
        <w:rPr>
          <w:rFonts w:ascii="Times New Roman" w:hAnsi="Times New Roman"/>
          <w:sz w:val="24"/>
          <w:szCs w:val="24"/>
          <w:lang w:val="de-DE"/>
        </w:rPr>
        <w:t>s</w:t>
      </w:r>
      <w:r w:rsidR="00207340">
        <w:rPr>
          <w:rFonts w:ascii="Times New Roman" w:hAnsi="Times New Roman"/>
          <w:sz w:val="24"/>
          <w:szCs w:val="24"/>
          <w:lang w:val="de-DE"/>
        </w:rPr>
        <w:t>esară pentru funcționarea pompei de căldură poate fi generată cu ajutorul surselor regenerabile de energie, de exemplu cu ajutorul panourilor fotovoltaice.</w:t>
      </w:r>
    </w:p>
    <w:p w:rsidR="005C2E4A" w:rsidRDefault="005C2E4A" w:rsidP="00CD3A7C">
      <w:pPr>
        <w:autoSpaceDE w:val="0"/>
        <w:autoSpaceDN w:val="0"/>
        <w:adjustRightInd w:val="0"/>
        <w:spacing w:line="360" w:lineRule="auto"/>
        <w:ind w:firstLine="720"/>
        <w:rPr>
          <w:rFonts w:ascii="Times New Roman" w:hAnsi="Times New Roman"/>
          <w:sz w:val="24"/>
          <w:szCs w:val="24"/>
        </w:rPr>
      </w:pPr>
      <w:r>
        <w:rPr>
          <w:rFonts w:ascii="Times New Roman" w:hAnsi="Times New Roman"/>
          <w:sz w:val="24"/>
          <w:szCs w:val="24"/>
        </w:rPr>
        <w:t>Principiul de fun</w:t>
      </w:r>
      <w:r w:rsidR="00DA48A9">
        <w:rPr>
          <w:rFonts w:ascii="Times New Roman" w:hAnsi="Times New Roman"/>
          <w:sz w:val="24"/>
          <w:szCs w:val="24"/>
        </w:rPr>
        <w:t>c</w:t>
      </w:r>
      <w:r>
        <w:rPr>
          <w:rFonts w:ascii="Times New Roman" w:hAnsi="Times New Roman"/>
          <w:sz w:val="24"/>
          <w:szCs w:val="24"/>
        </w:rPr>
        <w:t>ționare al pompelor de căldură se bazează pe ciclul evaporare-compresiune, care este cel mai uzual ciclu utilizat în practică</w:t>
      </w:r>
      <w:r w:rsidR="00EB1635">
        <w:rPr>
          <w:rFonts w:ascii="Times New Roman" w:hAnsi="Times New Roman"/>
          <w:sz w:val="24"/>
          <w:szCs w:val="24"/>
        </w:rPr>
        <w:t xml:space="preserve">, </w:t>
      </w:r>
      <w:r w:rsidR="00242E31">
        <w:rPr>
          <w:rFonts w:ascii="Times New Roman" w:hAnsi="Times New Roman"/>
          <w:sz w:val="24"/>
          <w:szCs w:val="24"/>
        </w:rPr>
        <w:t xml:space="preserve">având la bază ciclul Carnot </w:t>
      </w:r>
      <w:r w:rsidR="00D4675B">
        <w:rPr>
          <w:rFonts w:ascii="Times New Roman" w:hAnsi="Times New Roman"/>
          <w:sz w:val="24"/>
          <w:szCs w:val="24"/>
        </w:rPr>
        <w:lastRenderedPageBreak/>
        <w:t xml:space="preserve">(Greenpeace, </w:t>
      </w:r>
      <w:r w:rsidR="00D4675B" w:rsidRPr="0096171A">
        <w:rPr>
          <w:rFonts w:ascii="Times New Roman" w:hAnsi="Times New Roman"/>
          <w:color w:val="auto"/>
          <w:sz w:val="24"/>
          <w:szCs w:val="24"/>
        </w:rPr>
        <w:t>2023</w:t>
      </w:r>
      <w:r w:rsidR="0096171A" w:rsidRPr="0096171A">
        <w:rPr>
          <w:rFonts w:ascii="Times New Roman" w:hAnsi="Times New Roman"/>
          <w:color w:val="auto"/>
          <w:sz w:val="24"/>
          <w:szCs w:val="24"/>
        </w:rPr>
        <w:t>; Decuypere et al., 2023)</w:t>
      </w:r>
      <w:r w:rsidRPr="0096171A">
        <w:rPr>
          <w:rFonts w:ascii="Times New Roman" w:hAnsi="Times New Roman"/>
          <w:color w:val="auto"/>
          <w:sz w:val="24"/>
          <w:szCs w:val="24"/>
        </w:rPr>
        <w:t>. In acest ciclu un refrigerant este utilizat pentru transportul căldurii</w:t>
      </w:r>
      <w:r>
        <w:rPr>
          <w:rFonts w:ascii="Times New Roman" w:hAnsi="Times New Roman"/>
          <w:sz w:val="24"/>
          <w:szCs w:val="24"/>
        </w:rPr>
        <w:t>. In cazul clasic refrigerantul aflat în stare lichidă pătrunde în evaporator unde se evaporă ca urmare a absoarbției de căldură de la sursa de căldură. Fluidul evaporat intră în compresor</w:t>
      </w:r>
      <w:r w:rsidR="0096171A">
        <w:rPr>
          <w:rFonts w:ascii="Times New Roman" w:hAnsi="Times New Roman"/>
          <w:sz w:val="24"/>
          <w:szCs w:val="24"/>
        </w:rPr>
        <w:t>,</w:t>
      </w:r>
      <w:r>
        <w:rPr>
          <w:rFonts w:ascii="Times New Roman" w:hAnsi="Times New Roman"/>
          <w:sz w:val="24"/>
          <w:szCs w:val="24"/>
        </w:rPr>
        <w:t xml:space="preserve"> unde în urma compresiei își mărește temperatura și presiunea. Vaporii aflați la presiune înaltă ajung în condensator, unde căldura este </w:t>
      </w:r>
      <w:r w:rsidR="00DA48A9">
        <w:rPr>
          <w:rFonts w:ascii="Times New Roman" w:hAnsi="Times New Roman"/>
          <w:sz w:val="24"/>
          <w:szCs w:val="24"/>
        </w:rPr>
        <w:t>cedată sistemului de încălzire, iar fluidul este condensat și revine în stare lichidă. Etapa finală are loc în vasul de expansiune, unde are loc o reducere a presiunii, și a temperaturii refrigerantului, acesta fiin</w:t>
      </w:r>
      <w:r w:rsidR="0096171A">
        <w:rPr>
          <w:rFonts w:ascii="Times New Roman" w:hAnsi="Times New Roman"/>
          <w:sz w:val="24"/>
          <w:szCs w:val="24"/>
        </w:rPr>
        <w:t>d</w:t>
      </w:r>
      <w:r w:rsidR="00DA48A9">
        <w:rPr>
          <w:rFonts w:ascii="Times New Roman" w:hAnsi="Times New Roman"/>
          <w:sz w:val="24"/>
          <w:szCs w:val="24"/>
        </w:rPr>
        <w:t xml:space="preserve"> pregătit să reia ciclu</w:t>
      </w:r>
      <w:r w:rsidR="00E64E5B">
        <w:rPr>
          <w:rFonts w:ascii="Times New Roman" w:hAnsi="Times New Roman"/>
          <w:sz w:val="24"/>
          <w:szCs w:val="24"/>
        </w:rPr>
        <w:t>l cu prima etapă din evaporator (figura 1).</w:t>
      </w:r>
    </w:p>
    <w:p w:rsidR="00DA48A9" w:rsidRDefault="00DA48A9" w:rsidP="00CD3A7C">
      <w:pPr>
        <w:autoSpaceDE w:val="0"/>
        <w:autoSpaceDN w:val="0"/>
        <w:adjustRightInd w:val="0"/>
        <w:spacing w:line="360" w:lineRule="auto"/>
        <w:ind w:firstLine="720"/>
        <w:rPr>
          <w:rFonts w:ascii="Times New Roman" w:hAnsi="Times New Roman"/>
          <w:sz w:val="24"/>
          <w:szCs w:val="24"/>
        </w:rPr>
      </w:pPr>
    </w:p>
    <w:p w:rsidR="00E64E5B" w:rsidRPr="00B30FCD" w:rsidRDefault="00E64E5B" w:rsidP="00E64E5B">
      <w:pPr>
        <w:pStyle w:val="NormalWeb"/>
        <w:spacing w:before="0" w:beforeAutospacing="0" w:after="0" w:afterAutospacing="0"/>
        <w:jc w:val="center"/>
        <w:rPr>
          <w:color w:val="000000"/>
          <w:lang w:val="it-IT"/>
        </w:rPr>
      </w:pPr>
      <w:r w:rsidRPr="00B30FCD">
        <w:rPr>
          <w:noProof/>
          <w:color w:val="000000"/>
        </w:rPr>
        <w:drawing>
          <wp:inline distT="0" distB="0" distL="0" distR="0">
            <wp:extent cx="2667000" cy="2276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276475"/>
                    </a:xfrm>
                    <a:prstGeom prst="rect">
                      <a:avLst/>
                    </a:prstGeom>
                    <a:noFill/>
                    <a:ln>
                      <a:noFill/>
                    </a:ln>
                  </pic:spPr>
                </pic:pic>
              </a:graphicData>
            </a:graphic>
          </wp:inline>
        </w:drawing>
      </w:r>
    </w:p>
    <w:p w:rsidR="00E64E5B" w:rsidRDefault="00E64E5B" w:rsidP="00E64E5B">
      <w:pPr>
        <w:pStyle w:val="NormalWeb"/>
        <w:spacing w:before="0" w:beforeAutospacing="0" w:after="0" w:afterAutospacing="0"/>
        <w:jc w:val="center"/>
        <w:rPr>
          <w:b/>
          <w:bCs/>
          <w:color w:val="000000"/>
          <w:lang w:val="ro-RO"/>
        </w:rPr>
      </w:pPr>
      <w:r w:rsidRPr="00B30FCD">
        <w:rPr>
          <w:b/>
          <w:bCs/>
          <w:color w:val="000000"/>
          <w:lang w:val="ro-RO"/>
        </w:rPr>
        <w:t xml:space="preserve">Figura </w:t>
      </w:r>
      <w:r>
        <w:rPr>
          <w:b/>
          <w:bCs/>
          <w:color w:val="000000"/>
          <w:lang w:val="ro-RO"/>
        </w:rPr>
        <w:t>1</w:t>
      </w:r>
      <w:r w:rsidRPr="00B30FCD">
        <w:rPr>
          <w:b/>
          <w:bCs/>
          <w:color w:val="000000"/>
          <w:lang w:val="ro-RO"/>
        </w:rPr>
        <w:t xml:space="preserve"> Schema de principiu a funcționării pompei de căldură</w:t>
      </w:r>
    </w:p>
    <w:p w:rsidR="00E64E5B" w:rsidRPr="00B30FCD" w:rsidRDefault="00E64E5B" w:rsidP="00E64E5B">
      <w:pPr>
        <w:pStyle w:val="NormalWeb"/>
        <w:spacing w:before="0" w:beforeAutospacing="0" w:after="0" w:afterAutospacing="0"/>
        <w:jc w:val="center"/>
        <w:rPr>
          <w:b/>
          <w:bCs/>
          <w:color w:val="000000"/>
          <w:lang w:val="ro-RO"/>
        </w:rPr>
      </w:pPr>
      <w:r>
        <w:rPr>
          <w:b/>
          <w:bCs/>
          <w:color w:val="000000"/>
          <w:lang w:val="ro-RO"/>
        </w:rPr>
        <w:t xml:space="preserve">Sursă: Paraschiv T. (2023) </w:t>
      </w:r>
    </w:p>
    <w:p w:rsidR="00DA48A9" w:rsidRPr="00E64E5B" w:rsidRDefault="00DA48A9" w:rsidP="00CD3A7C">
      <w:pPr>
        <w:autoSpaceDE w:val="0"/>
        <w:autoSpaceDN w:val="0"/>
        <w:adjustRightInd w:val="0"/>
        <w:spacing w:line="360" w:lineRule="auto"/>
        <w:ind w:firstLine="720"/>
        <w:rPr>
          <w:rFonts w:ascii="Times New Roman" w:hAnsi="Times New Roman"/>
          <w:sz w:val="24"/>
          <w:szCs w:val="24"/>
          <w:lang w:val="ro-RO"/>
        </w:rPr>
      </w:pPr>
    </w:p>
    <w:p w:rsidR="00DA48A9" w:rsidRPr="00E64E5B" w:rsidRDefault="00DA48A9" w:rsidP="00CD3A7C">
      <w:pPr>
        <w:autoSpaceDE w:val="0"/>
        <w:autoSpaceDN w:val="0"/>
        <w:adjustRightInd w:val="0"/>
        <w:spacing w:line="360" w:lineRule="auto"/>
        <w:ind w:firstLine="720"/>
        <w:rPr>
          <w:rFonts w:ascii="Times New Roman" w:hAnsi="Times New Roman"/>
          <w:sz w:val="24"/>
          <w:szCs w:val="24"/>
          <w:lang w:val="it-IT"/>
        </w:rPr>
      </w:pPr>
    </w:p>
    <w:p w:rsidR="00E64E5B" w:rsidRPr="00661681" w:rsidRDefault="00E64E5B" w:rsidP="00891B2C">
      <w:pPr>
        <w:pStyle w:val="NormalWeb"/>
        <w:spacing w:before="0" w:beforeAutospacing="0" w:after="0" w:afterAutospacing="0" w:line="360" w:lineRule="auto"/>
        <w:ind w:firstLine="720"/>
        <w:jc w:val="both"/>
        <w:rPr>
          <w:lang w:val="ro-RO"/>
        </w:rPr>
      </w:pPr>
      <w:r>
        <w:rPr>
          <w:lang w:val="it-IT"/>
        </w:rPr>
        <w:t xml:space="preserve">Pompele de căldură </w:t>
      </w:r>
      <w:r>
        <w:rPr>
          <w:color w:val="000000"/>
          <w:lang w:val="ro-RO"/>
        </w:rPr>
        <w:t>utilizează</w:t>
      </w:r>
      <w:r w:rsidRPr="00B30FCD">
        <w:rPr>
          <w:color w:val="000000"/>
          <w:lang w:val="ro-RO"/>
        </w:rPr>
        <w:t xml:space="preserve"> energia termică prezentă în aer, apă sau sol pentru a încălzi </w:t>
      </w:r>
      <w:r w:rsidRPr="00E64E5B">
        <w:rPr>
          <w:color w:val="000000"/>
          <w:lang w:val="ro-RO"/>
        </w:rPr>
        <w:t>sau răci o locuință, o clădire comercială, un grup de blocuri sau cartiere</w:t>
      </w:r>
      <w:r w:rsidR="00D4675B">
        <w:rPr>
          <w:color w:val="000000"/>
          <w:lang w:val="ro-RO"/>
        </w:rPr>
        <w:t xml:space="preserve"> </w:t>
      </w:r>
      <w:r w:rsidRPr="00E64E5B">
        <w:rPr>
          <w:color w:val="000000"/>
          <w:lang w:val="ro-RO"/>
        </w:rPr>
        <w:t>.</w:t>
      </w:r>
      <w:r w:rsidR="00891B2C">
        <w:rPr>
          <w:color w:val="000000"/>
          <w:lang w:val="ro-RO"/>
        </w:rPr>
        <w:t xml:space="preserve"> Astfel, p</w:t>
      </w:r>
      <w:r w:rsidR="00CD3A7C" w:rsidRPr="00E64E5B">
        <w:rPr>
          <w:lang w:val="it-IT"/>
        </w:rPr>
        <w:t>rincipalele ti</w:t>
      </w:r>
      <w:r w:rsidRPr="00E64E5B">
        <w:rPr>
          <w:lang w:val="it-IT"/>
        </w:rPr>
        <w:t xml:space="preserve">puri de pompe de căldură sunt: aer-aer </w:t>
      </w:r>
      <w:r w:rsidRPr="00E64E5B">
        <w:rPr>
          <w:color w:val="000000"/>
          <w:lang w:val="ro-RO"/>
        </w:rPr>
        <w:t>(aer condiționat reversibil)</w:t>
      </w:r>
      <w:r w:rsidR="007B189D">
        <w:rPr>
          <w:color w:val="000000"/>
          <w:lang w:val="ro-RO"/>
        </w:rPr>
        <w:t xml:space="preserve"> </w:t>
      </w:r>
      <w:r w:rsidR="007B189D" w:rsidRPr="007B189D">
        <w:rPr>
          <w:lang w:val="ro-RO"/>
        </w:rPr>
        <w:t>(Sopha et al., 2010)</w:t>
      </w:r>
      <w:r w:rsidRPr="007B189D">
        <w:rPr>
          <w:lang w:val="ro-RO"/>
        </w:rPr>
        <w:t xml:space="preserve">, </w:t>
      </w:r>
      <w:r w:rsidRPr="00E64E5B">
        <w:rPr>
          <w:lang w:val="ro-RO"/>
        </w:rPr>
        <w:t>aer-apă, apă-</w:t>
      </w:r>
      <w:r w:rsidRPr="00661681">
        <w:rPr>
          <w:lang w:val="ro-RO"/>
        </w:rPr>
        <w:t>apă, sol-apă</w:t>
      </w:r>
      <w:r w:rsidR="007B189D" w:rsidRPr="00661681">
        <w:rPr>
          <w:lang w:val="ro-RO"/>
        </w:rPr>
        <w:t xml:space="preserve"> (</w:t>
      </w:r>
      <w:r w:rsidR="00661681" w:rsidRPr="00661681">
        <w:rPr>
          <w:lang w:val="ro-RO"/>
        </w:rPr>
        <w:t xml:space="preserve">Staiger&amp; Tantau, 2015; </w:t>
      </w:r>
      <w:r w:rsidR="007B189D" w:rsidRPr="00661681">
        <w:rPr>
          <w:lang w:val="ro-RO"/>
        </w:rPr>
        <w:t>Karytsas &amp;</w:t>
      </w:r>
      <w:r w:rsidR="009A71AB" w:rsidRPr="00661681">
        <w:rPr>
          <w:lang w:val="ro-RO"/>
        </w:rPr>
        <w:t xml:space="preserve"> Theodoropoulou, </w:t>
      </w:r>
      <w:r w:rsidR="007B189D" w:rsidRPr="00661681">
        <w:rPr>
          <w:lang w:val="ro-RO"/>
        </w:rPr>
        <w:t>2014)</w:t>
      </w:r>
      <w:r w:rsidRPr="00661681">
        <w:rPr>
          <w:lang w:val="ro-RO"/>
        </w:rPr>
        <w:t>.</w:t>
      </w:r>
    </w:p>
    <w:p w:rsidR="00A06522" w:rsidRDefault="00A06522" w:rsidP="00891B2C">
      <w:pPr>
        <w:pStyle w:val="NormalWeb"/>
        <w:spacing w:before="0" w:beforeAutospacing="0" w:after="0" w:afterAutospacing="0" w:line="360" w:lineRule="auto"/>
        <w:ind w:firstLine="720"/>
        <w:jc w:val="both"/>
        <w:rPr>
          <w:lang w:val="ro-RO"/>
        </w:rPr>
      </w:pPr>
      <w:r>
        <w:rPr>
          <w:lang w:val="ro-RO"/>
        </w:rPr>
        <w:t xml:space="preserve">Pentru a fi atât eficiente, cât și sustenabile sistemele integrate cu pompe de căldură trebuie să țină cont de o serie de factori: </w:t>
      </w:r>
    </w:p>
    <w:p w:rsidR="00A06522" w:rsidRDefault="00A06522" w:rsidP="00A06522">
      <w:pPr>
        <w:pStyle w:val="NormalWeb"/>
        <w:numPr>
          <w:ilvl w:val="0"/>
          <w:numId w:val="2"/>
        </w:numPr>
        <w:spacing w:before="0" w:beforeAutospacing="0" w:after="0" w:afterAutospacing="0" w:line="360" w:lineRule="auto"/>
        <w:jc w:val="both"/>
        <w:rPr>
          <w:lang w:val="ro-RO"/>
        </w:rPr>
      </w:pPr>
      <w:r>
        <w:rPr>
          <w:lang w:val="ro-RO"/>
        </w:rPr>
        <w:t>Energia electrică utilizată reprezintă o sursă de energie primară;</w:t>
      </w:r>
    </w:p>
    <w:p w:rsidR="00A06522" w:rsidRDefault="00A06522" w:rsidP="00A06522">
      <w:pPr>
        <w:pStyle w:val="NormalWeb"/>
        <w:numPr>
          <w:ilvl w:val="0"/>
          <w:numId w:val="2"/>
        </w:numPr>
        <w:spacing w:before="0" w:beforeAutospacing="0" w:after="0" w:afterAutospacing="0" w:line="360" w:lineRule="auto"/>
        <w:jc w:val="both"/>
        <w:rPr>
          <w:lang w:val="ro-RO"/>
        </w:rPr>
      </w:pPr>
      <w:r>
        <w:rPr>
          <w:lang w:val="ro-RO"/>
        </w:rPr>
        <w:t>Refrigerantul utilizat în pompa de căldură;</w:t>
      </w:r>
    </w:p>
    <w:p w:rsidR="00A06522" w:rsidRDefault="00A06522" w:rsidP="00A06522">
      <w:pPr>
        <w:pStyle w:val="NormalWeb"/>
        <w:numPr>
          <w:ilvl w:val="0"/>
          <w:numId w:val="2"/>
        </w:numPr>
        <w:spacing w:before="0" w:beforeAutospacing="0" w:after="0" w:afterAutospacing="0" w:line="360" w:lineRule="auto"/>
        <w:jc w:val="both"/>
        <w:rPr>
          <w:lang w:val="ro-RO"/>
        </w:rPr>
      </w:pPr>
      <w:r>
        <w:rPr>
          <w:lang w:val="ro-RO"/>
        </w:rPr>
        <w:t>Calitatea tehnică a construcției pompei de căldură, în special la nivelul circuitului refrigerantului;</w:t>
      </w:r>
    </w:p>
    <w:p w:rsidR="00A06522" w:rsidRDefault="00A06522" w:rsidP="00A06522">
      <w:pPr>
        <w:pStyle w:val="NormalWeb"/>
        <w:numPr>
          <w:ilvl w:val="0"/>
          <w:numId w:val="2"/>
        </w:numPr>
        <w:spacing w:before="0" w:beforeAutospacing="0" w:after="0" w:afterAutospacing="0" w:line="360" w:lineRule="auto"/>
        <w:jc w:val="both"/>
        <w:rPr>
          <w:lang w:val="ro-RO"/>
        </w:rPr>
      </w:pPr>
      <w:r>
        <w:rPr>
          <w:lang w:val="ro-RO"/>
        </w:rPr>
        <w:lastRenderedPageBreak/>
        <w:t>Modul de operare al sistemului cu pompă de căldură, în special parametrii de intrare și ieșire și posibilitatea de reciclare a refrigerantului.</w:t>
      </w:r>
    </w:p>
    <w:p w:rsidR="004539AF" w:rsidRDefault="00CD3A7C" w:rsidP="004539AF">
      <w:pPr>
        <w:spacing w:line="360" w:lineRule="auto"/>
        <w:ind w:firstLine="720"/>
        <w:textAlignment w:val="baseline"/>
        <w:rPr>
          <w:rFonts w:ascii="Times New Roman" w:hAnsi="Times New Roman"/>
          <w:sz w:val="24"/>
          <w:szCs w:val="24"/>
          <w:lang w:val="it-IT"/>
        </w:rPr>
      </w:pPr>
      <w:r w:rsidRPr="00E64E5B">
        <w:rPr>
          <w:rFonts w:ascii="Times New Roman" w:hAnsi="Times New Roman"/>
          <w:color w:val="auto"/>
          <w:sz w:val="24"/>
          <w:szCs w:val="24"/>
          <w:lang w:val="it-IT"/>
        </w:rPr>
        <w:t>Efic</w:t>
      </w:r>
      <w:r w:rsidRPr="004539AF">
        <w:rPr>
          <w:rFonts w:ascii="Times New Roman" w:hAnsi="Times New Roman"/>
          <w:color w:val="auto"/>
          <w:sz w:val="24"/>
          <w:szCs w:val="24"/>
          <w:lang w:val="it-IT"/>
        </w:rPr>
        <w:t xml:space="preserve">iența energetică a pompelor de căldură este </w:t>
      </w:r>
      <w:r w:rsidR="00B349A0" w:rsidRPr="004539AF">
        <w:rPr>
          <w:rFonts w:ascii="Times New Roman" w:hAnsi="Times New Roman"/>
          <w:color w:val="auto"/>
          <w:sz w:val="24"/>
          <w:szCs w:val="24"/>
          <w:lang w:val="it-IT"/>
        </w:rPr>
        <w:t>estimată cu ajutorul</w:t>
      </w:r>
      <w:r w:rsidRPr="004539AF">
        <w:rPr>
          <w:rFonts w:ascii="Times New Roman" w:hAnsi="Times New Roman"/>
          <w:color w:val="auto"/>
          <w:sz w:val="24"/>
          <w:szCs w:val="24"/>
          <w:lang w:val="it-IT"/>
        </w:rPr>
        <w:t xml:space="preserve"> indicatorului co</w:t>
      </w:r>
      <w:r w:rsidR="00B349A0" w:rsidRPr="004539AF">
        <w:rPr>
          <w:rFonts w:ascii="Times New Roman" w:hAnsi="Times New Roman"/>
          <w:color w:val="auto"/>
          <w:sz w:val="24"/>
          <w:szCs w:val="24"/>
          <w:lang w:val="it-IT"/>
        </w:rPr>
        <w:t>efic</w:t>
      </w:r>
      <w:r w:rsidRPr="004539AF">
        <w:rPr>
          <w:rFonts w:ascii="Times New Roman" w:hAnsi="Times New Roman"/>
          <w:color w:val="auto"/>
          <w:sz w:val="24"/>
          <w:szCs w:val="24"/>
          <w:lang w:val="it-IT"/>
        </w:rPr>
        <w:t>i</w:t>
      </w:r>
      <w:r w:rsidR="00B349A0" w:rsidRPr="004539AF">
        <w:rPr>
          <w:rFonts w:ascii="Times New Roman" w:hAnsi="Times New Roman"/>
          <w:color w:val="auto"/>
          <w:sz w:val="24"/>
          <w:szCs w:val="24"/>
          <w:lang w:val="it-IT"/>
        </w:rPr>
        <w:t>e</w:t>
      </w:r>
      <w:r w:rsidRPr="004539AF">
        <w:rPr>
          <w:rFonts w:ascii="Times New Roman" w:hAnsi="Times New Roman"/>
          <w:color w:val="auto"/>
          <w:sz w:val="24"/>
          <w:szCs w:val="24"/>
          <w:lang w:val="it-IT"/>
        </w:rPr>
        <w:t>nt de performanță (COP)</w:t>
      </w:r>
      <w:r w:rsidR="007D06A2">
        <w:rPr>
          <w:rFonts w:ascii="Times New Roman" w:hAnsi="Times New Roman"/>
          <w:color w:val="auto"/>
          <w:sz w:val="24"/>
          <w:szCs w:val="24"/>
          <w:lang w:val="it-IT"/>
        </w:rPr>
        <w:t xml:space="preserve">. Coeficientul de performanță este calculat ca un raport între energia termică rezultată la ieșirea din pompa de căldură și energia electrică utilizată pentru funcționarea pompei de căldură.  Acesta </w:t>
      </w:r>
      <w:r w:rsidR="00B349A0" w:rsidRPr="004539AF">
        <w:rPr>
          <w:rFonts w:ascii="Times New Roman" w:hAnsi="Times New Roman"/>
          <w:color w:val="auto"/>
          <w:sz w:val="24"/>
          <w:szCs w:val="24"/>
          <w:lang w:val="it-IT"/>
        </w:rPr>
        <w:t>are de obicei valori cuprinse</w:t>
      </w:r>
      <w:r w:rsidRPr="004539AF">
        <w:rPr>
          <w:rFonts w:ascii="Times New Roman" w:hAnsi="Times New Roman"/>
          <w:color w:val="auto"/>
          <w:sz w:val="24"/>
          <w:szCs w:val="24"/>
          <w:lang w:val="it-IT"/>
        </w:rPr>
        <w:t xml:space="preserve"> între 2 și 5</w:t>
      </w:r>
      <w:r w:rsidR="00B349A0" w:rsidRPr="004539AF">
        <w:rPr>
          <w:rFonts w:ascii="Times New Roman" w:hAnsi="Times New Roman"/>
          <w:color w:val="auto"/>
          <w:sz w:val="24"/>
          <w:szCs w:val="24"/>
          <w:lang w:val="it-IT"/>
        </w:rPr>
        <w:t>,</w:t>
      </w:r>
      <w:r w:rsidRPr="004539AF">
        <w:rPr>
          <w:rFonts w:ascii="Times New Roman" w:hAnsi="Times New Roman"/>
          <w:color w:val="auto"/>
          <w:sz w:val="24"/>
          <w:szCs w:val="24"/>
          <w:lang w:val="it-IT"/>
        </w:rPr>
        <w:t xml:space="preserve"> fiind mult mai mare decât </w:t>
      </w:r>
      <w:r w:rsidR="00B349A0" w:rsidRPr="004539AF">
        <w:rPr>
          <w:rFonts w:ascii="Times New Roman" w:hAnsi="Times New Roman"/>
          <w:color w:val="auto"/>
          <w:sz w:val="24"/>
          <w:szCs w:val="24"/>
          <w:lang w:val="it-IT"/>
        </w:rPr>
        <w:t>eficiența energetică a</w:t>
      </w:r>
      <w:r w:rsidRPr="004539AF">
        <w:rPr>
          <w:rFonts w:ascii="Times New Roman" w:hAnsi="Times New Roman"/>
          <w:color w:val="auto"/>
          <w:sz w:val="24"/>
          <w:szCs w:val="24"/>
          <w:lang w:val="it-IT"/>
        </w:rPr>
        <w:t xml:space="preserve"> centralelor alimentate cu gaz natu</w:t>
      </w:r>
      <w:r w:rsidR="007D06A2">
        <w:rPr>
          <w:rFonts w:ascii="Times New Roman" w:hAnsi="Times New Roman"/>
          <w:color w:val="auto"/>
          <w:sz w:val="24"/>
          <w:szCs w:val="24"/>
          <w:lang w:val="it-IT"/>
        </w:rPr>
        <w:t>ral</w:t>
      </w:r>
      <w:r w:rsidR="00C34745" w:rsidRPr="004539AF">
        <w:rPr>
          <w:rFonts w:ascii="Times New Roman" w:hAnsi="Times New Roman"/>
          <w:color w:val="auto"/>
          <w:sz w:val="24"/>
          <w:szCs w:val="24"/>
          <w:lang w:val="it-IT"/>
        </w:rPr>
        <w:t xml:space="preserve"> sau a boilerelor electrice</w:t>
      </w:r>
      <w:r w:rsidRPr="004539AF">
        <w:rPr>
          <w:rFonts w:ascii="Times New Roman" w:hAnsi="Times New Roman"/>
          <w:sz w:val="24"/>
          <w:szCs w:val="24"/>
          <w:lang w:val="it-IT"/>
        </w:rPr>
        <w:t xml:space="preserve"> (Habibi&amp; Hakkak</w:t>
      </w:r>
      <w:r w:rsidR="00B45C72" w:rsidRPr="004539AF">
        <w:rPr>
          <w:rFonts w:ascii="Times New Roman" w:hAnsi="Times New Roman"/>
          <w:sz w:val="24"/>
          <w:szCs w:val="24"/>
          <w:lang w:val="it-IT"/>
        </w:rPr>
        <w:t>i, 2019; Corbert et al., 2023</w:t>
      </w:r>
      <w:r w:rsidR="007E0F48">
        <w:rPr>
          <w:rFonts w:ascii="Times New Roman" w:hAnsi="Times New Roman"/>
          <w:sz w:val="24"/>
          <w:szCs w:val="24"/>
          <w:lang w:val="it-IT"/>
        </w:rPr>
        <w:t xml:space="preserve">; </w:t>
      </w:r>
      <w:r w:rsidR="007E0F48" w:rsidRPr="007E0F48">
        <w:rPr>
          <w:rFonts w:ascii="Times New Roman" w:hAnsi="Times New Roman"/>
          <w:sz w:val="24"/>
          <w:szCs w:val="24"/>
        </w:rPr>
        <w:t>Heinonen</w:t>
      </w:r>
      <w:r w:rsidR="007E0F48">
        <w:rPr>
          <w:rFonts w:ascii="Times New Roman" w:hAnsi="Times New Roman"/>
          <w:sz w:val="24"/>
          <w:szCs w:val="24"/>
        </w:rPr>
        <w:t xml:space="preserve"> et al., 2015</w:t>
      </w:r>
      <w:r w:rsidR="00B45C72" w:rsidRPr="004539AF">
        <w:rPr>
          <w:rFonts w:ascii="Times New Roman" w:hAnsi="Times New Roman"/>
          <w:sz w:val="24"/>
          <w:szCs w:val="24"/>
          <w:lang w:val="it-IT"/>
        </w:rPr>
        <w:t>).</w:t>
      </w:r>
      <w:r w:rsidR="004539AF" w:rsidRPr="004539AF">
        <w:rPr>
          <w:rFonts w:ascii="Times New Roman" w:hAnsi="Times New Roman"/>
          <w:sz w:val="24"/>
          <w:szCs w:val="24"/>
          <w:lang w:val="it-IT"/>
        </w:rPr>
        <w:t xml:space="preserve"> </w:t>
      </w:r>
      <w:r w:rsidR="004539AF">
        <w:rPr>
          <w:rFonts w:ascii="Times New Roman" w:hAnsi="Times New Roman"/>
          <w:sz w:val="24"/>
          <w:szCs w:val="24"/>
          <w:lang w:val="it-IT"/>
        </w:rPr>
        <w:t xml:space="preserve">Cu cât </w:t>
      </w:r>
      <w:r w:rsidR="004539AF" w:rsidRPr="004539AF">
        <w:rPr>
          <w:rFonts w:ascii="Times New Roman" w:hAnsi="Times New Roman"/>
          <w:sz w:val="24"/>
          <w:szCs w:val="24"/>
          <w:lang w:val="it-IT"/>
        </w:rPr>
        <w:t xml:space="preserve"> COP este </w:t>
      </w:r>
      <w:r w:rsidR="004539AF" w:rsidRPr="004539AF">
        <w:rPr>
          <w:rFonts w:ascii="Times New Roman" w:hAnsi="Times New Roman"/>
          <w:iCs/>
          <w:sz w:val="24"/>
          <w:szCs w:val="24"/>
          <w:lang w:val="it-IT"/>
        </w:rPr>
        <w:t>mai ridicat</w:t>
      </w:r>
      <w:r w:rsidR="004539AF" w:rsidRPr="004539AF">
        <w:rPr>
          <w:rFonts w:ascii="Times New Roman" w:hAnsi="Times New Roman"/>
          <w:sz w:val="24"/>
          <w:szCs w:val="24"/>
          <w:lang w:val="it-IT"/>
        </w:rPr>
        <w:t xml:space="preserve">, cu atât pompa consumă mai puțin, adică are randamentul mai bun, </w:t>
      </w:r>
      <w:r w:rsidR="004539AF">
        <w:rPr>
          <w:rFonts w:ascii="Times New Roman" w:hAnsi="Times New Roman"/>
          <w:sz w:val="24"/>
          <w:szCs w:val="24"/>
          <w:lang w:val="it-IT"/>
        </w:rPr>
        <w:t>și</w:t>
      </w:r>
      <w:r w:rsidR="004539AF" w:rsidRPr="004539AF">
        <w:rPr>
          <w:rFonts w:ascii="Times New Roman" w:hAnsi="Times New Roman"/>
          <w:sz w:val="24"/>
          <w:szCs w:val="24"/>
          <w:lang w:val="it-IT"/>
        </w:rPr>
        <w:t xml:space="preserve"> este mai rentabilă</w:t>
      </w:r>
      <w:r w:rsidR="004539AF">
        <w:rPr>
          <w:rFonts w:ascii="Times New Roman" w:hAnsi="Times New Roman"/>
          <w:sz w:val="24"/>
          <w:szCs w:val="24"/>
          <w:lang w:val="it-IT"/>
        </w:rPr>
        <w:t xml:space="preserve"> din punct de vedere economic</w:t>
      </w:r>
      <w:r w:rsidR="004539AF" w:rsidRPr="004539AF">
        <w:rPr>
          <w:rFonts w:ascii="Times New Roman" w:hAnsi="Times New Roman"/>
          <w:sz w:val="24"/>
          <w:szCs w:val="24"/>
          <w:lang w:val="it-IT"/>
        </w:rPr>
        <w:t>.</w:t>
      </w:r>
      <w:r w:rsidR="004539AF">
        <w:rPr>
          <w:rFonts w:ascii="Times New Roman" w:hAnsi="Times New Roman"/>
          <w:sz w:val="24"/>
          <w:szCs w:val="24"/>
          <w:lang w:val="it-IT"/>
        </w:rPr>
        <w:t xml:space="preserve"> </w:t>
      </w:r>
    </w:p>
    <w:p w:rsidR="00400BF4" w:rsidRDefault="0090519D" w:rsidP="004539AF">
      <w:pPr>
        <w:spacing w:line="360" w:lineRule="auto"/>
        <w:ind w:firstLine="720"/>
        <w:textAlignment w:val="baseline"/>
        <w:rPr>
          <w:rFonts w:ascii="Times New Roman" w:hAnsi="Times New Roman"/>
          <w:sz w:val="24"/>
          <w:szCs w:val="24"/>
          <w:lang w:val="it-IT"/>
        </w:rPr>
      </w:pPr>
      <w:r>
        <w:rPr>
          <w:rFonts w:ascii="Times New Roman" w:hAnsi="Times New Roman"/>
          <w:sz w:val="24"/>
          <w:szCs w:val="24"/>
          <w:lang w:val="it-IT"/>
        </w:rPr>
        <w:t>Emisiile de CO</w:t>
      </w:r>
      <w:r w:rsidRPr="0090519D">
        <w:rPr>
          <w:rFonts w:ascii="Times New Roman" w:hAnsi="Times New Roman"/>
          <w:sz w:val="24"/>
          <w:szCs w:val="24"/>
          <w:vertAlign w:val="subscript"/>
          <w:lang w:val="it-IT"/>
        </w:rPr>
        <w:t>2</w:t>
      </w:r>
      <w:r>
        <w:rPr>
          <w:rFonts w:ascii="Times New Roman" w:hAnsi="Times New Roman"/>
          <w:sz w:val="24"/>
          <w:szCs w:val="24"/>
          <w:lang w:val="it-IT"/>
        </w:rPr>
        <w:t xml:space="preserve"> generate de pompa de căldură pot fi estimate prin ponderarea cantității de electricitate consumată pentru funcționarea pompei de căldură cu echivalentul emisiilor de CO</w:t>
      </w:r>
      <w:r w:rsidRPr="0090519D">
        <w:rPr>
          <w:rFonts w:ascii="Times New Roman" w:hAnsi="Times New Roman"/>
          <w:sz w:val="24"/>
          <w:szCs w:val="24"/>
          <w:vertAlign w:val="subscript"/>
          <w:lang w:val="it-IT"/>
        </w:rPr>
        <w:t>2</w:t>
      </w:r>
      <w:r>
        <w:rPr>
          <w:rFonts w:ascii="Times New Roman" w:hAnsi="Times New Roman"/>
          <w:sz w:val="24"/>
          <w:szCs w:val="24"/>
          <w:lang w:val="it-IT"/>
        </w:rPr>
        <w:t xml:space="preserve">, care este specific fiecărei surse de energie primară </w:t>
      </w:r>
      <w:r w:rsidRPr="00837DB2">
        <w:rPr>
          <w:rFonts w:ascii="Times New Roman" w:hAnsi="Times New Roman"/>
          <w:sz w:val="24"/>
          <w:szCs w:val="24"/>
          <w:lang w:eastAsia="ro-RO" w:bidi="hi-IN"/>
        </w:rPr>
        <w:t>(</w:t>
      </w:r>
      <w:r>
        <w:rPr>
          <w:rFonts w:ascii="Times New Roman" w:hAnsi="Times New Roman"/>
          <w:sz w:val="24"/>
          <w:szCs w:val="24"/>
          <w:shd w:val="clear" w:color="auto" w:fill="FFFFFF"/>
        </w:rPr>
        <w:t>UBA, 2019</w:t>
      </w:r>
      <w:r w:rsidRPr="00837DB2">
        <w:rPr>
          <w:rFonts w:ascii="Times New Roman" w:hAnsi="Times New Roman"/>
          <w:sz w:val="24"/>
          <w:szCs w:val="24"/>
          <w:shd w:val="clear" w:color="auto" w:fill="FFFFFF"/>
        </w:rPr>
        <w:t>)</w:t>
      </w:r>
      <w:r>
        <w:rPr>
          <w:rFonts w:ascii="Times New Roman" w:hAnsi="Times New Roman"/>
          <w:sz w:val="24"/>
          <w:szCs w:val="24"/>
          <w:lang w:eastAsia="ro-RO" w:bidi="hi-IN"/>
        </w:rPr>
        <w:t xml:space="preserve">. </w:t>
      </w:r>
      <w:r>
        <w:rPr>
          <w:rFonts w:ascii="Times New Roman" w:hAnsi="Times New Roman"/>
          <w:sz w:val="24"/>
          <w:szCs w:val="24"/>
          <w:lang w:val="it-IT"/>
        </w:rPr>
        <w:t>Din</w:t>
      </w:r>
      <w:r w:rsidR="00B45C72" w:rsidRPr="004539AF">
        <w:rPr>
          <w:rFonts w:ascii="Times New Roman" w:hAnsi="Times New Roman"/>
          <w:sz w:val="24"/>
          <w:szCs w:val="24"/>
          <w:lang w:val="it-IT"/>
        </w:rPr>
        <w:t xml:space="preserve"> punctul de vedere al emisiilor de gaze cu efect de seră (de exemplu</w:t>
      </w:r>
      <w:r w:rsidR="00661681">
        <w:rPr>
          <w:rFonts w:ascii="Times New Roman" w:hAnsi="Times New Roman"/>
          <w:sz w:val="24"/>
          <w:szCs w:val="24"/>
          <w:lang w:val="it-IT"/>
        </w:rPr>
        <w:t>,</w:t>
      </w:r>
      <w:r w:rsidR="00B45C72" w:rsidRPr="004539AF">
        <w:rPr>
          <w:rFonts w:ascii="Times New Roman" w:hAnsi="Times New Roman"/>
          <w:sz w:val="24"/>
          <w:szCs w:val="24"/>
          <w:lang w:val="it-IT"/>
        </w:rPr>
        <w:t xml:space="preserve"> dioxidul de carbon), datorită integrării panourilor fotovoltaice în </w:t>
      </w:r>
      <w:r w:rsidR="00B45C72" w:rsidRPr="0096171A">
        <w:rPr>
          <w:rFonts w:ascii="Times New Roman" w:hAnsi="Times New Roman"/>
          <w:color w:val="auto"/>
          <w:sz w:val="24"/>
          <w:szCs w:val="24"/>
          <w:lang w:val="it-IT"/>
        </w:rPr>
        <w:t>sistem</w:t>
      </w:r>
      <w:r w:rsidR="0096171A" w:rsidRPr="0096171A">
        <w:rPr>
          <w:rFonts w:ascii="Times New Roman" w:hAnsi="Times New Roman"/>
          <w:color w:val="auto"/>
          <w:sz w:val="24"/>
          <w:szCs w:val="24"/>
          <w:lang w:val="it-IT"/>
        </w:rPr>
        <w:t xml:space="preserve"> (Penaloza et al., 2022) </w:t>
      </w:r>
      <w:r w:rsidR="00B45C72" w:rsidRPr="0096171A">
        <w:rPr>
          <w:rFonts w:ascii="Times New Roman" w:hAnsi="Times New Roman"/>
          <w:color w:val="auto"/>
          <w:sz w:val="24"/>
          <w:szCs w:val="24"/>
          <w:lang w:val="it-IT"/>
        </w:rPr>
        <w:t xml:space="preserve">- </w:t>
      </w:r>
      <w:r w:rsidR="00B45C72" w:rsidRPr="004539AF">
        <w:rPr>
          <w:rFonts w:ascii="Times New Roman" w:hAnsi="Times New Roman"/>
          <w:sz w:val="24"/>
          <w:szCs w:val="24"/>
          <w:lang w:val="it-IT"/>
        </w:rPr>
        <w:t xml:space="preserve">deci a unei surse de energie regenerabilă- acestea sunt foarte reduse. </w:t>
      </w:r>
      <w:r w:rsidR="00400BF4">
        <w:rPr>
          <w:rFonts w:ascii="Times New Roman" w:hAnsi="Times New Roman"/>
          <w:sz w:val="24"/>
          <w:szCs w:val="24"/>
          <w:lang w:val="it-IT"/>
        </w:rPr>
        <w:t>Totuși și în acest caz trebuie avut în vedere faptul că emisiile de gaze cu efect de seră ale sistemului integrat cu pompe de căldură depind nu numai de sursa de generare a energiei electrice necesare funcționarii pompei de căldură, cât și de refrigerantul utilizat pentru ciclul pompei de căldură</w:t>
      </w:r>
    </w:p>
    <w:p w:rsidR="00B45C72" w:rsidRPr="004539AF" w:rsidRDefault="00B45C72" w:rsidP="004539AF">
      <w:pPr>
        <w:spacing w:line="360" w:lineRule="auto"/>
        <w:ind w:firstLine="720"/>
        <w:textAlignment w:val="baseline"/>
        <w:rPr>
          <w:rFonts w:ascii="Times New Roman" w:hAnsi="Times New Roman"/>
          <w:sz w:val="24"/>
          <w:szCs w:val="24"/>
          <w:lang w:val="it-IT"/>
        </w:rPr>
      </w:pPr>
      <w:r>
        <w:rPr>
          <w:rFonts w:ascii="Times New Roman" w:hAnsi="Times New Roman"/>
          <w:sz w:val="24"/>
          <w:szCs w:val="24"/>
        </w:rPr>
        <w:t xml:space="preserve">Acest </w:t>
      </w:r>
      <w:r w:rsidR="00400BF4">
        <w:rPr>
          <w:rFonts w:ascii="Times New Roman" w:hAnsi="Times New Roman"/>
          <w:sz w:val="24"/>
          <w:szCs w:val="24"/>
        </w:rPr>
        <w:t>sistem tehnologic integrat cu pompe de căldură și panouri fotovoltaice</w:t>
      </w:r>
      <w:r>
        <w:rPr>
          <w:rFonts w:ascii="Times New Roman" w:hAnsi="Times New Roman"/>
          <w:sz w:val="24"/>
          <w:szCs w:val="24"/>
        </w:rPr>
        <w:t xml:space="preserve"> poate contribui semnificativ la decarbonizarea sectorului construcțiilor</w:t>
      </w:r>
      <w:r w:rsidR="00B349A0">
        <w:rPr>
          <w:rFonts w:ascii="Times New Roman" w:hAnsi="Times New Roman"/>
          <w:sz w:val="24"/>
          <w:szCs w:val="24"/>
        </w:rPr>
        <w:t xml:space="preserve"> sau a sectoarelor industriale</w:t>
      </w:r>
      <w:r w:rsidR="00E753BF">
        <w:rPr>
          <w:rFonts w:ascii="Times New Roman" w:hAnsi="Times New Roman"/>
          <w:sz w:val="24"/>
          <w:szCs w:val="24"/>
        </w:rPr>
        <w:t xml:space="preserve"> (</w:t>
      </w:r>
      <w:r w:rsidR="00E753BF" w:rsidRPr="00B349A0">
        <w:rPr>
          <w:rFonts w:ascii="Times New Roman" w:hAnsi="Times New Roman"/>
          <w:sz w:val="24"/>
          <w:szCs w:val="24"/>
        </w:rPr>
        <w:t>European Commission</w:t>
      </w:r>
      <w:r w:rsidR="00E753BF">
        <w:rPr>
          <w:rFonts w:ascii="Times New Roman" w:hAnsi="Times New Roman"/>
          <w:sz w:val="24"/>
          <w:szCs w:val="24"/>
        </w:rPr>
        <w:t xml:space="preserve">, </w:t>
      </w:r>
      <w:r w:rsidR="00E753BF" w:rsidRPr="00B349A0">
        <w:rPr>
          <w:rFonts w:ascii="Times New Roman" w:hAnsi="Times New Roman"/>
          <w:sz w:val="24"/>
          <w:szCs w:val="24"/>
        </w:rPr>
        <w:t>2019</w:t>
      </w:r>
      <w:r w:rsidR="00E753BF">
        <w:rPr>
          <w:rFonts w:ascii="Times New Roman" w:hAnsi="Times New Roman"/>
          <w:sz w:val="24"/>
          <w:szCs w:val="24"/>
        </w:rPr>
        <w:t>; European Council, 2023</w:t>
      </w:r>
      <w:r w:rsidR="00E753BF" w:rsidRPr="00B349A0">
        <w:rPr>
          <w:rFonts w:ascii="Times New Roman" w:hAnsi="Times New Roman"/>
          <w:sz w:val="24"/>
          <w:szCs w:val="24"/>
        </w:rPr>
        <w:t>)</w:t>
      </w:r>
      <w:r w:rsidR="00B349A0">
        <w:rPr>
          <w:rFonts w:ascii="Times New Roman" w:hAnsi="Times New Roman"/>
          <w:sz w:val="24"/>
          <w:szCs w:val="24"/>
        </w:rPr>
        <w:t>.</w:t>
      </w:r>
    </w:p>
    <w:p w:rsidR="00571F30" w:rsidRPr="0096171A" w:rsidRDefault="00537E5B" w:rsidP="00661681">
      <w:pPr>
        <w:autoSpaceDE w:val="0"/>
        <w:autoSpaceDN w:val="0"/>
        <w:adjustRightInd w:val="0"/>
        <w:spacing w:line="360" w:lineRule="auto"/>
        <w:ind w:firstLine="720"/>
        <w:jc w:val="left"/>
        <w:rPr>
          <w:lang w:val="it-IT"/>
        </w:rPr>
      </w:pPr>
      <w:r w:rsidRPr="0096171A">
        <w:rPr>
          <w:rFonts w:ascii="Times New Roman" w:hAnsi="Times New Roman"/>
          <w:sz w:val="24"/>
          <w:szCs w:val="24"/>
          <w:lang w:val="it-IT"/>
        </w:rPr>
        <w:t>Astfel, studiile de specialitate indică fap</w:t>
      </w:r>
      <w:r w:rsidR="00661681">
        <w:rPr>
          <w:rFonts w:ascii="Times New Roman" w:hAnsi="Times New Roman"/>
          <w:sz w:val="24"/>
          <w:szCs w:val="24"/>
          <w:lang w:val="it-IT"/>
        </w:rPr>
        <w:t>tul că sistemele integrate cu p</w:t>
      </w:r>
      <w:r w:rsidRPr="0096171A">
        <w:rPr>
          <w:rFonts w:ascii="Times New Roman" w:hAnsi="Times New Roman"/>
          <w:sz w:val="24"/>
          <w:szCs w:val="24"/>
          <w:lang w:val="it-IT"/>
        </w:rPr>
        <w:t>ompe de căldură au emisii foarte reduse de CO</w:t>
      </w:r>
      <w:r w:rsidRPr="0096171A">
        <w:rPr>
          <w:rFonts w:ascii="Times New Roman" w:hAnsi="Times New Roman"/>
          <w:sz w:val="24"/>
          <w:szCs w:val="24"/>
          <w:vertAlign w:val="subscript"/>
          <w:lang w:val="it-IT"/>
        </w:rPr>
        <w:t>2</w:t>
      </w:r>
      <w:r w:rsidRPr="0096171A">
        <w:rPr>
          <w:rFonts w:ascii="Times New Roman" w:hAnsi="Times New Roman"/>
          <w:sz w:val="24"/>
          <w:szCs w:val="24"/>
          <w:lang w:val="it-IT"/>
        </w:rPr>
        <w:t xml:space="preserve">, dacă sunt alimentate cu energia generată de panouri fotovoltaice </w:t>
      </w:r>
      <w:r w:rsidR="00661681" w:rsidRPr="0096171A">
        <w:rPr>
          <w:rFonts w:ascii="Times New Roman" w:hAnsi="Times New Roman"/>
          <w:color w:val="auto"/>
          <w:sz w:val="24"/>
          <w:szCs w:val="24"/>
          <w:lang w:val="it-IT"/>
        </w:rPr>
        <w:t>(Thomaßen et al., 2021)</w:t>
      </w:r>
      <w:r w:rsidR="00661681">
        <w:rPr>
          <w:rFonts w:ascii="Times New Roman" w:hAnsi="Times New Roman"/>
          <w:color w:val="auto"/>
          <w:sz w:val="24"/>
          <w:szCs w:val="24"/>
          <w:lang w:val="it-IT"/>
        </w:rPr>
        <w:t xml:space="preserve"> </w:t>
      </w:r>
      <w:r w:rsidRPr="0096171A">
        <w:rPr>
          <w:rFonts w:ascii="Times New Roman" w:hAnsi="Times New Roman"/>
          <w:color w:val="auto"/>
          <w:sz w:val="24"/>
          <w:szCs w:val="24"/>
          <w:lang w:val="it-IT"/>
        </w:rPr>
        <w:t xml:space="preserve">și au o eficiență energetică </w:t>
      </w:r>
      <w:r w:rsidR="00661681">
        <w:rPr>
          <w:rFonts w:ascii="Times New Roman" w:hAnsi="Times New Roman"/>
          <w:color w:val="auto"/>
          <w:sz w:val="24"/>
          <w:szCs w:val="24"/>
          <w:lang w:val="it-IT"/>
        </w:rPr>
        <w:t>semnificativ superioară sistemelor clasice de încălzire-răcire.</w:t>
      </w:r>
      <w:r w:rsidRPr="0096171A">
        <w:rPr>
          <w:rFonts w:ascii="Times New Roman" w:hAnsi="Times New Roman"/>
          <w:color w:val="auto"/>
          <w:sz w:val="24"/>
          <w:szCs w:val="24"/>
          <w:lang w:val="it-IT"/>
        </w:rPr>
        <w:t xml:space="preserve">  </w:t>
      </w:r>
    </w:p>
    <w:p w:rsidR="00C34745" w:rsidRPr="0096171A" w:rsidRDefault="00C34745">
      <w:pPr>
        <w:rPr>
          <w:rFonts w:ascii="Times New Roman" w:hAnsi="Times New Roman"/>
          <w:sz w:val="24"/>
          <w:szCs w:val="24"/>
          <w:lang w:val="it-IT"/>
        </w:rPr>
      </w:pPr>
    </w:p>
    <w:p w:rsidR="008567A4" w:rsidRPr="0096171A" w:rsidRDefault="008567A4">
      <w:pPr>
        <w:rPr>
          <w:rFonts w:ascii="Times New Roman" w:hAnsi="Times New Roman"/>
          <w:sz w:val="24"/>
          <w:szCs w:val="24"/>
          <w:lang w:val="it-IT"/>
        </w:rPr>
      </w:pPr>
    </w:p>
    <w:p w:rsidR="00E753BF" w:rsidRDefault="00E753BF">
      <w:pPr>
        <w:rPr>
          <w:rFonts w:ascii="Times New Roman" w:hAnsi="Times New Roman"/>
          <w:sz w:val="24"/>
          <w:szCs w:val="24"/>
          <w:lang w:val="it-IT"/>
        </w:rPr>
      </w:pPr>
    </w:p>
    <w:p w:rsidR="00EC2F2F" w:rsidRDefault="00EC2F2F">
      <w:pPr>
        <w:rPr>
          <w:rFonts w:ascii="Times New Roman" w:hAnsi="Times New Roman"/>
          <w:sz w:val="24"/>
          <w:szCs w:val="24"/>
          <w:lang w:val="it-IT"/>
        </w:rPr>
      </w:pPr>
    </w:p>
    <w:p w:rsidR="00EC2F2F" w:rsidRDefault="00EC2F2F">
      <w:pPr>
        <w:rPr>
          <w:rFonts w:ascii="Times New Roman" w:hAnsi="Times New Roman"/>
          <w:sz w:val="24"/>
          <w:szCs w:val="24"/>
          <w:lang w:val="it-IT"/>
        </w:rPr>
      </w:pPr>
    </w:p>
    <w:p w:rsidR="00EC2F2F" w:rsidRPr="0096171A" w:rsidRDefault="00EC2F2F">
      <w:pPr>
        <w:rPr>
          <w:rFonts w:ascii="Times New Roman" w:hAnsi="Times New Roman"/>
          <w:sz w:val="24"/>
          <w:szCs w:val="24"/>
          <w:lang w:val="it-IT"/>
        </w:rPr>
      </w:pPr>
    </w:p>
    <w:p w:rsidR="008567A4" w:rsidRPr="0096171A" w:rsidRDefault="008567A4">
      <w:pPr>
        <w:rPr>
          <w:rFonts w:ascii="Times New Roman" w:hAnsi="Times New Roman"/>
          <w:sz w:val="24"/>
          <w:szCs w:val="24"/>
          <w:lang w:val="it-IT"/>
        </w:rPr>
      </w:pPr>
    </w:p>
    <w:p w:rsidR="00C34745" w:rsidRDefault="00B349A0">
      <w:pPr>
        <w:rPr>
          <w:rFonts w:ascii="Times New Roman" w:hAnsi="Times New Roman"/>
          <w:b/>
          <w:sz w:val="24"/>
          <w:szCs w:val="24"/>
        </w:rPr>
      </w:pPr>
      <w:r w:rsidRPr="00B349A0">
        <w:rPr>
          <w:rFonts w:ascii="Times New Roman" w:hAnsi="Times New Roman"/>
          <w:b/>
          <w:sz w:val="24"/>
          <w:szCs w:val="24"/>
        </w:rPr>
        <w:lastRenderedPageBreak/>
        <w:t>Bibliografie</w:t>
      </w:r>
    </w:p>
    <w:p w:rsidR="00EC2F2F" w:rsidRPr="00B349A0" w:rsidRDefault="00EC2F2F">
      <w:pPr>
        <w:rPr>
          <w:rFonts w:ascii="Times New Roman" w:hAnsi="Times New Roman"/>
          <w:b/>
          <w:sz w:val="24"/>
          <w:szCs w:val="24"/>
        </w:rPr>
      </w:pPr>
    </w:p>
    <w:p w:rsidR="008B3301" w:rsidRPr="006A073F" w:rsidRDefault="008B3301" w:rsidP="00EC2F2F">
      <w:pPr>
        <w:tabs>
          <w:tab w:val="left" w:pos="360"/>
        </w:tabs>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Bayer P., Saner D., Bolay S., Rybach L., Blum P., (2012), </w:t>
      </w:r>
      <w:r w:rsidRPr="006A073F">
        <w:rPr>
          <w:rFonts w:ascii="Times New Roman" w:hAnsi="Times New Roman"/>
          <w:iCs/>
          <w:color w:val="auto"/>
          <w:sz w:val="24"/>
          <w:szCs w:val="24"/>
        </w:rPr>
        <w:t>Greenhouse gas emission savings of ground source heat pump systems in Europe: A review,</w:t>
      </w:r>
      <w:r w:rsidRPr="006A073F">
        <w:rPr>
          <w:rFonts w:ascii="Times New Roman" w:hAnsi="Times New Roman"/>
          <w:color w:val="auto"/>
          <w:sz w:val="24"/>
          <w:szCs w:val="24"/>
        </w:rPr>
        <w:t xml:space="preserve"> </w:t>
      </w:r>
      <w:r w:rsidRPr="006A073F">
        <w:rPr>
          <w:rFonts w:ascii="Times New Roman" w:hAnsi="Times New Roman"/>
          <w:i/>
          <w:color w:val="auto"/>
          <w:sz w:val="24"/>
          <w:szCs w:val="24"/>
        </w:rPr>
        <w:t>Renewable Sustainable Review</w:t>
      </w:r>
      <w:r w:rsidRPr="006A073F">
        <w:rPr>
          <w:rFonts w:ascii="Times New Roman" w:hAnsi="Times New Roman"/>
          <w:color w:val="auto"/>
          <w:sz w:val="24"/>
          <w:szCs w:val="24"/>
        </w:rPr>
        <w:t>, 16</w:t>
      </w:r>
      <w:r w:rsidR="00280033" w:rsidRPr="006A073F">
        <w:rPr>
          <w:rFonts w:ascii="Times New Roman" w:hAnsi="Times New Roman"/>
          <w:color w:val="auto"/>
          <w:sz w:val="24"/>
          <w:szCs w:val="24"/>
        </w:rPr>
        <w:t xml:space="preserve">(2), Feb., pp: 1256–1267,  </w:t>
      </w:r>
      <w:r w:rsidRPr="006A073F">
        <w:rPr>
          <w:rFonts w:ascii="Times New Roman" w:hAnsi="Times New Roman"/>
          <w:color w:val="auto"/>
          <w:sz w:val="24"/>
          <w:szCs w:val="24"/>
        </w:rPr>
        <w:t xml:space="preserve"> Elsevier Ltd., https://doi.org/10.1016/j.rser.2011.09.027.</w:t>
      </w:r>
    </w:p>
    <w:p w:rsidR="00C34745" w:rsidRPr="006A073F" w:rsidRDefault="00C34745" w:rsidP="00EC2F2F">
      <w:pPr>
        <w:pStyle w:val="Default"/>
        <w:spacing w:line="360" w:lineRule="auto"/>
        <w:jc w:val="both"/>
        <w:rPr>
          <w:rFonts w:ascii="Times New Roman" w:hAnsi="Times New Roman" w:cs="Times New Roman"/>
          <w:color w:val="auto"/>
        </w:rPr>
      </w:pPr>
      <w:r w:rsidRPr="006A073F">
        <w:rPr>
          <w:rFonts w:ascii="Times New Roman" w:hAnsi="Times New Roman" w:cs="Times New Roman"/>
          <w:color w:val="auto"/>
        </w:rPr>
        <w:t xml:space="preserve">Corbett M., Rhodes E., </w:t>
      </w:r>
      <w:proofErr w:type="spellStart"/>
      <w:r w:rsidRPr="006A073F">
        <w:rPr>
          <w:rFonts w:ascii="Times New Roman" w:hAnsi="Times New Roman" w:cs="Times New Roman"/>
          <w:color w:val="auto"/>
        </w:rPr>
        <w:t>Pardy</w:t>
      </w:r>
      <w:proofErr w:type="spellEnd"/>
      <w:r w:rsidRPr="006A073F">
        <w:rPr>
          <w:rFonts w:ascii="Times New Roman" w:hAnsi="Times New Roman" w:cs="Times New Roman"/>
          <w:color w:val="auto"/>
        </w:rPr>
        <w:t xml:space="preserve"> A.,  Long Z.,  (2023) Pumping up adoption: The role of policy awareness in explaining willingness to adopt heat pumps in Canada, Energy Research &amp; Social Science, 96, , 102926</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Decuypere, R., Robaeyst, B., Hudders, L., Baccarne, B., &amp; Van de Sompel, D. (2022). Transitioning to energy efficient housing: Drivers and barriers of intermediaries in heat pump technology. Energy policy, 161, 112709.</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European Commission (EC). (2019) Available online: https://commission.europa.eu/strategy-and-policy/priorities-2019-2024/european-green-deal_en (accessed on 20 Februar 2023).</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European Council (2023) Available online: </w:t>
      </w:r>
      <w:hyperlink r:id="rId9" w:history="1">
        <w:r w:rsidRPr="006A073F">
          <w:rPr>
            <w:rStyle w:val="Hyperlink"/>
            <w:rFonts w:ascii="Times New Roman" w:hAnsi="Times New Roman"/>
            <w:color w:val="auto"/>
            <w:sz w:val="24"/>
            <w:szCs w:val="24"/>
          </w:rPr>
          <w:t>https://www.consilium.europa.eu/en/policies/green-deal/fit-for-55-the-eu-plan-for-a-green-transition/</w:t>
        </w:r>
      </w:hyperlink>
      <w:r w:rsidRPr="006A073F">
        <w:rPr>
          <w:rFonts w:ascii="Times New Roman" w:hAnsi="Times New Roman"/>
          <w:color w:val="auto"/>
          <w:sz w:val="24"/>
          <w:szCs w:val="24"/>
        </w:rPr>
        <w:t xml:space="preserve"> (accessed on 28 April 2023)</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Greenpeace (2023) Available online: </w:t>
      </w:r>
      <w:hyperlink r:id="rId10" w:history="1">
        <w:r w:rsidRPr="006A073F">
          <w:rPr>
            <w:rStyle w:val="Hyperlink"/>
            <w:rFonts w:ascii="Times New Roman" w:hAnsi="Times New Roman"/>
            <w:color w:val="auto"/>
            <w:sz w:val="24"/>
            <w:szCs w:val="24"/>
          </w:rPr>
          <w:t>https://www.greenpeace.org/romania/articol/8320/cum-functioneaza-o-pompa-de-caldura-si-de-ce-ar-trebui-sa-ti-pese/</w:t>
        </w:r>
      </w:hyperlink>
      <w:r w:rsidRPr="006A073F">
        <w:rPr>
          <w:rFonts w:ascii="Times New Roman" w:hAnsi="Times New Roman"/>
          <w:color w:val="auto"/>
          <w:sz w:val="24"/>
          <w:szCs w:val="24"/>
        </w:rPr>
        <w:t xml:space="preserve"> (accessed on 24 April 2023)</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Habibi M., Hakkaki-Fard A. (2019) , Long-term energy and exergy analysis of heat pumps with different types of ground and air heat exchangers, Int. J. Refrig. 100, 414–433, </w:t>
      </w:r>
      <w:hyperlink r:id="rId11" w:history="1">
        <w:r w:rsidR="007E0F48" w:rsidRPr="006A073F">
          <w:rPr>
            <w:rStyle w:val="Hyperlink"/>
            <w:rFonts w:ascii="Times New Roman" w:hAnsi="Times New Roman"/>
            <w:color w:val="auto"/>
            <w:sz w:val="24"/>
            <w:szCs w:val="24"/>
          </w:rPr>
          <w:t>https://doi.org/10.1016/j.ijrefrig.2019.02.021</w:t>
        </w:r>
      </w:hyperlink>
    </w:p>
    <w:p w:rsidR="007E0F48" w:rsidRPr="006A073F" w:rsidRDefault="007E0F48" w:rsidP="00EC2F2F">
      <w:pPr>
        <w:tabs>
          <w:tab w:val="left" w:pos="360"/>
        </w:tabs>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Heinonen J., Laine J., Pluuman K., Säynäjoki E-S., Soukka R. and Junnila S. (2015), </w:t>
      </w:r>
      <w:r w:rsidRPr="006A073F">
        <w:rPr>
          <w:rFonts w:ascii="Times New Roman" w:hAnsi="Times New Roman"/>
          <w:iCs/>
          <w:color w:val="auto"/>
          <w:sz w:val="24"/>
          <w:szCs w:val="24"/>
        </w:rPr>
        <w:t>Planning for a Low Carbon Future? Comparing Heat Pumps and Cogeneration as the Energy System Options for a New Residential Area</w:t>
      </w:r>
      <w:r w:rsidRPr="006A073F">
        <w:rPr>
          <w:rFonts w:ascii="Times New Roman" w:hAnsi="Times New Roman"/>
          <w:color w:val="auto"/>
          <w:sz w:val="24"/>
          <w:szCs w:val="24"/>
        </w:rPr>
        <w:t xml:space="preserve">, </w:t>
      </w:r>
      <w:r w:rsidRPr="006A073F">
        <w:rPr>
          <w:rFonts w:ascii="Times New Roman" w:hAnsi="Times New Roman"/>
          <w:i/>
          <w:iCs/>
          <w:color w:val="auto"/>
          <w:sz w:val="24"/>
          <w:szCs w:val="24"/>
        </w:rPr>
        <w:t>Energies,</w:t>
      </w:r>
      <w:r w:rsidRPr="006A073F">
        <w:rPr>
          <w:rFonts w:ascii="Times New Roman" w:hAnsi="Times New Roman"/>
          <w:color w:val="auto"/>
          <w:sz w:val="24"/>
          <w:szCs w:val="24"/>
        </w:rPr>
        <w:t xml:space="preserve"> Vol.8(9), pp: 9137-9154, ID: 2009751, https://research.aalto.fi/en/publications/planning-for-a-low-carbon-future-comparing-heat-pumps-and-cogeneration-as-the-energy-system-options-for-a-new-residential-area(72c8ce8b-39d7-4002-a20e-67a75d2e09bc)/export.html.</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International Energy Agency (2022) The future of heat pumps – world energy outlook special report, Available online: </w:t>
      </w:r>
      <w:hyperlink r:id="rId12" w:history="1">
        <w:r w:rsidRPr="006A073F">
          <w:rPr>
            <w:rStyle w:val="Hyperlink"/>
            <w:rFonts w:ascii="Times New Roman" w:hAnsi="Times New Roman"/>
            <w:color w:val="auto"/>
            <w:sz w:val="24"/>
            <w:szCs w:val="24"/>
          </w:rPr>
          <w:t>https://iea.blob.core.windows.net/assets/4713780d-c0ae-4686-8c9b-29e782452695/TheFutureofHeatPumps.pdf</w:t>
        </w:r>
      </w:hyperlink>
      <w:r w:rsidR="00B45C72" w:rsidRPr="006A073F">
        <w:rPr>
          <w:rFonts w:ascii="Times New Roman" w:hAnsi="Times New Roman"/>
          <w:color w:val="auto"/>
          <w:sz w:val="24"/>
          <w:szCs w:val="24"/>
        </w:rPr>
        <w:t xml:space="preserve"> </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Karytsas S., Theodoropoulou H. (2014) Public awareness and willingness to adopt ground source heat pumps for domestic heating and cooling, Renewable and Sustainable Energy Reviews, 34, 49–57</w:t>
      </w:r>
    </w:p>
    <w:p w:rsidR="00C34745" w:rsidRPr="006A073F" w:rsidRDefault="00C34745" w:rsidP="00EC2F2F">
      <w:pPr>
        <w:autoSpaceDE w:val="0"/>
        <w:autoSpaceDN w:val="0"/>
        <w:adjustRightInd w:val="0"/>
        <w:spacing w:line="360" w:lineRule="auto"/>
        <w:rPr>
          <w:rStyle w:val="Hyperlink"/>
          <w:rFonts w:ascii="Times New Roman" w:hAnsi="Times New Roman"/>
          <w:color w:val="auto"/>
          <w:sz w:val="24"/>
          <w:szCs w:val="24"/>
        </w:rPr>
      </w:pPr>
      <w:r w:rsidRPr="006A073F">
        <w:rPr>
          <w:rFonts w:ascii="Times New Roman" w:hAnsi="Times New Roman"/>
          <w:color w:val="auto"/>
          <w:sz w:val="24"/>
          <w:szCs w:val="24"/>
        </w:rPr>
        <w:lastRenderedPageBreak/>
        <w:t xml:space="preserve">Kern F., , Rogge K., Howlett M, (2019) Policy mixes for sustainability transitions: new approaches and insights through bridging innovation and policy studies, Res. Policy 48, 10, 103832, </w:t>
      </w:r>
      <w:hyperlink r:id="rId13" w:history="1">
        <w:r w:rsidRPr="006A073F">
          <w:rPr>
            <w:rStyle w:val="Hyperlink"/>
            <w:rFonts w:ascii="Times New Roman" w:hAnsi="Times New Roman"/>
            <w:color w:val="auto"/>
            <w:sz w:val="24"/>
            <w:szCs w:val="24"/>
          </w:rPr>
          <w:t>https://doi.org/10.1016/j.respol.2019.103832</w:t>
        </w:r>
      </w:hyperlink>
    </w:p>
    <w:p w:rsidR="00547038" w:rsidRPr="006A073F" w:rsidRDefault="00547038" w:rsidP="00EC2F2F">
      <w:pPr>
        <w:autoSpaceDE w:val="0"/>
        <w:autoSpaceDN w:val="0"/>
        <w:adjustRightInd w:val="0"/>
        <w:spacing w:line="360" w:lineRule="auto"/>
        <w:rPr>
          <w:rFonts w:ascii="Times New Roman" w:hAnsi="Times New Roman"/>
          <w:color w:val="auto"/>
          <w:sz w:val="24"/>
          <w:szCs w:val="24"/>
          <w:shd w:val="clear" w:color="auto" w:fill="FFFFFF"/>
          <w:lang w:val="ro-RO" w:eastAsia="ro-RO" w:bidi="hi-IN"/>
        </w:rPr>
      </w:pPr>
      <w:r w:rsidRPr="006A073F">
        <w:rPr>
          <w:rFonts w:ascii="Times New Roman" w:hAnsi="Times New Roman"/>
          <w:color w:val="auto"/>
          <w:sz w:val="24"/>
          <w:szCs w:val="24"/>
        </w:rPr>
        <w:t>Levihn, F</w:t>
      </w:r>
      <w:r w:rsidR="00A05996" w:rsidRPr="006A073F">
        <w:rPr>
          <w:rFonts w:ascii="Times New Roman" w:hAnsi="Times New Roman"/>
          <w:color w:val="auto"/>
          <w:sz w:val="24"/>
          <w:szCs w:val="24"/>
        </w:rPr>
        <w:t>.</w:t>
      </w:r>
      <w:r w:rsidRPr="006A073F">
        <w:rPr>
          <w:rFonts w:ascii="Times New Roman" w:hAnsi="Times New Roman"/>
          <w:color w:val="auto"/>
          <w:sz w:val="24"/>
          <w:szCs w:val="24"/>
        </w:rPr>
        <w:t xml:space="preserve"> (2014): </w:t>
      </w:r>
      <w:r w:rsidRPr="006A073F">
        <w:rPr>
          <w:rFonts w:ascii="Times New Roman" w:hAnsi="Times New Roman"/>
          <w:iCs/>
          <w:color w:val="auto"/>
          <w:sz w:val="24"/>
          <w:szCs w:val="24"/>
        </w:rPr>
        <w:t xml:space="preserve">CO2 Emissions Accounting. Whether, how, and when different allocation methods should be used. </w:t>
      </w:r>
      <w:r w:rsidRPr="006A073F">
        <w:rPr>
          <w:rFonts w:ascii="Times New Roman" w:hAnsi="Times New Roman"/>
          <w:i/>
          <w:iCs/>
          <w:color w:val="auto"/>
          <w:sz w:val="24"/>
          <w:szCs w:val="24"/>
        </w:rPr>
        <w:t>Energy</w:t>
      </w:r>
      <w:r w:rsidRPr="006A073F">
        <w:rPr>
          <w:rFonts w:ascii="Times New Roman" w:hAnsi="Times New Roman"/>
          <w:color w:val="auto"/>
          <w:sz w:val="24"/>
          <w:szCs w:val="24"/>
        </w:rPr>
        <w:t xml:space="preserve">, Vol. 68, pp: 811–818, DOI: 10.1016/j.energy.2014.01.098, </w:t>
      </w:r>
      <w:hyperlink r:id="rId14" w:history="1">
        <w:r w:rsidRPr="006A073F">
          <w:rPr>
            <w:rStyle w:val="Hyperlink"/>
            <w:rFonts w:ascii="Times New Roman" w:hAnsi="Times New Roman"/>
            <w:color w:val="auto"/>
            <w:sz w:val="24"/>
            <w:szCs w:val="24"/>
          </w:rPr>
          <w:t>https://econpapers.repec.org/article/eeeenergy/v_3a68_3ay_3a2014_3ai_3ac_3ap_3a811-818.htm</w:t>
        </w:r>
      </w:hyperlink>
    </w:p>
    <w:p w:rsidR="00547038" w:rsidRPr="006A073F" w:rsidRDefault="00547038" w:rsidP="00EC2F2F">
      <w:pPr>
        <w:autoSpaceDE w:val="0"/>
        <w:autoSpaceDN w:val="0"/>
        <w:adjustRightInd w:val="0"/>
        <w:spacing w:line="360" w:lineRule="auto"/>
        <w:rPr>
          <w:rFonts w:ascii="Times New Roman" w:hAnsi="Times New Roman"/>
          <w:color w:val="auto"/>
          <w:sz w:val="24"/>
          <w:szCs w:val="24"/>
          <w:shd w:val="clear" w:color="auto" w:fill="FFFFFF"/>
          <w:lang w:val="ro-RO" w:eastAsia="ro-RO" w:bidi="hi-IN"/>
        </w:rPr>
      </w:pPr>
      <w:r w:rsidRPr="006A073F">
        <w:rPr>
          <w:rFonts w:ascii="Times New Roman" w:hAnsi="Times New Roman"/>
          <w:color w:val="auto"/>
          <w:sz w:val="24"/>
          <w:szCs w:val="24"/>
          <w:lang w:val="de-DE"/>
        </w:rPr>
        <w:t>Marotzke, J</w:t>
      </w:r>
      <w:r w:rsidR="00A05996" w:rsidRPr="006A073F">
        <w:rPr>
          <w:rFonts w:ascii="Times New Roman" w:hAnsi="Times New Roman"/>
          <w:color w:val="auto"/>
          <w:sz w:val="24"/>
          <w:szCs w:val="24"/>
          <w:lang w:val="de-DE"/>
        </w:rPr>
        <w:t>.</w:t>
      </w:r>
      <w:r w:rsidRPr="006A073F">
        <w:rPr>
          <w:rFonts w:ascii="Times New Roman" w:hAnsi="Times New Roman"/>
          <w:color w:val="auto"/>
          <w:sz w:val="24"/>
          <w:szCs w:val="24"/>
          <w:lang w:val="de-DE"/>
        </w:rPr>
        <w:t xml:space="preserve"> (2014), </w:t>
      </w:r>
      <w:r w:rsidRPr="006A073F">
        <w:rPr>
          <w:rFonts w:ascii="Times New Roman" w:hAnsi="Times New Roman"/>
          <w:iCs/>
          <w:color w:val="auto"/>
          <w:sz w:val="24"/>
          <w:szCs w:val="24"/>
          <w:lang w:val="de-DE"/>
        </w:rPr>
        <w:t>Klimamodelle und Globale Erwärmung</w:t>
      </w:r>
      <w:r w:rsidRPr="006A073F">
        <w:rPr>
          <w:rFonts w:ascii="Times New Roman" w:hAnsi="Times New Roman"/>
          <w:color w:val="auto"/>
          <w:sz w:val="24"/>
          <w:szCs w:val="24"/>
          <w:lang w:val="de-DE"/>
        </w:rPr>
        <w:t xml:space="preserve">, </w:t>
      </w:r>
      <w:r w:rsidRPr="006A073F">
        <w:rPr>
          <w:rFonts w:ascii="Times New Roman" w:hAnsi="Times New Roman"/>
          <w:i/>
          <w:color w:val="auto"/>
          <w:sz w:val="24"/>
          <w:szCs w:val="24"/>
          <w:lang w:val="de-DE"/>
        </w:rPr>
        <w:t>Physik in unserer Zeit</w:t>
      </w:r>
      <w:r w:rsidRPr="006A073F">
        <w:rPr>
          <w:rFonts w:ascii="Times New Roman" w:hAnsi="Times New Roman"/>
          <w:color w:val="auto"/>
          <w:sz w:val="24"/>
          <w:szCs w:val="24"/>
          <w:lang w:val="de-DE"/>
        </w:rPr>
        <w:t>, Vol.45(3), pp: 118-125, DOI: 10.1002 / piuz.201401363,http://onlinelibrary.wiley.com/doi/10.1002/piuz.201401363/full.</w:t>
      </w:r>
    </w:p>
    <w:p w:rsidR="00E64E5B" w:rsidRPr="006A073F" w:rsidRDefault="00E64E5B" w:rsidP="00EC2F2F">
      <w:pPr>
        <w:pStyle w:val="Default"/>
        <w:spacing w:line="360" w:lineRule="auto"/>
        <w:rPr>
          <w:rFonts w:ascii="Times New Roman" w:hAnsi="Times New Roman" w:cs="Times New Roman"/>
          <w:color w:val="auto"/>
        </w:rPr>
      </w:pPr>
      <w:r w:rsidRPr="006A073F">
        <w:rPr>
          <w:rFonts w:ascii="Times New Roman" w:hAnsi="Times New Roman" w:cs="Times New Roman"/>
          <w:bCs/>
          <w:color w:val="auto"/>
          <w:lang w:val="ro-RO"/>
        </w:rPr>
        <w:t xml:space="preserve">Paraschiv T. (2023) Studiu A3 </w:t>
      </w:r>
      <w:r w:rsidRPr="006A073F">
        <w:rPr>
          <w:rFonts w:ascii="Times New Roman" w:hAnsi="Times New Roman" w:cs="Times New Roman"/>
          <w:color w:val="auto"/>
        </w:rPr>
        <w:t>S</w:t>
      </w:r>
      <w:r w:rsidRPr="006A073F">
        <w:rPr>
          <w:rFonts w:ascii="Times New Roman" w:hAnsi="Times New Roman" w:cs="Times New Roman"/>
          <w:bCs/>
          <w:color w:val="auto"/>
        </w:rPr>
        <w:t xml:space="preserve">tudiu privind analiza pieței din România a sistemelor integrate bazate pe pompe de căldură, </w:t>
      </w:r>
      <w:proofErr w:type="spellStart"/>
      <w:r w:rsidRPr="006A073F">
        <w:rPr>
          <w:rFonts w:ascii="Times New Roman" w:hAnsi="Times New Roman" w:cs="Times New Roman"/>
          <w:bCs/>
          <w:color w:val="auto"/>
        </w:rPr>
        <w:t>sisteme</w:t>
      </w:r>
      <w:proofErr w:type="spellEnd"/>
      <w:r w:rsidRPr="006A073F">
        <w:rPr>
          <w:rFonts w:ascii="Times New Roman" w:hAnsi="Times New Roman" w:cs="Times New Roman"/>
          <w:bCs/>
          <w:color w:val="auto"/>
        </w:rPr>
        <w:t xml:space="preserve"> </w:t>
      </w:r>
      <w:proofErr w:type="spellStart"/>
      <w:r w:rsidRPr="006A073F">
        <w:rPr>
          <w:rFonts w:ascii="Times New Roman" w:hAnsi="Times New Roman" w:cs="Times New Roman"/>
          <w:bCs/>
          <w:color w:val="auto"/>
        </w:rPr>
        <w:t>termice</w:t>
      </w:r>
      <w:proofErr w:type="spellEnd"/>
      <w:r w:rsidRPr="006A073F">
        <w:rPr>
          <w:rFonts w:ascii="Times New Roman" w:hAnsi="Times New Roman" w:cs="Times New Roman"/>
          <w:bCs/>
          <w:color w:val="auto"/>
        </w:rPr>
        <w:t xml:space="preserve"> de </w:t>
      </w:r>
      <w:proofErr w:type="spellStart"/>
      <w:r w:rsidRPr="006A073F">
        <w:rPr>
          <w:rFonts w:ascii="Times New Roman" w:hAnsi="Times New Roman" w:cs="Times New Roman"/>
          <w:bCs/>
          <w:color w:val="auto"/>
        </w:rPr>
        <w:t>stocare</w:t>
      </w:r>
      <w:proofErr w:type="spellEnd"/>
      <w:r w:rsidRPr="006A073F">
        <w:rPr>
          <w:rFonts w:ascii="Times New Roman" w:hAnsi="Times New Roman" w:cs="Times New Roman"/>
          <w:bCs/>
          <w:color w:val="auto"/>
        </w:rPr>
        <w:t xml:space="preserve"> </w:t>
      </w:r>
      <w:proofErr w:type="spellStart"/>
      <w:r w:rsidRPr="006A073F">
        <w:rPr>
          <w:rFonts w:ascii="Times New Roman" w:hAnsi="Times New Roman" w:cs="Times New Roman"/>
          <w:bCs/>
          <w:color w:val="auto"/>
        </w:rPr>
        <w:t>și</w:t>
      </w:r>
      <w:proofErr w:type="spellEnd"/>
      <w:r w:rsidRPr="006A073F">
        <w:rPr>
          <w:rFonts w:ascii="Times New Roman" w:hAnsi="Times New Roman" w:cs="Times New Roman"/>
          <w:bCs/>
          <w:color w:val="auto"/>
        </w:rPr>
        <w:t xml:space="preserve"> </w:t>
      </w:r>
      <w:proofErr w:type="spellStart"/>
      <w:r w:rsidRPr="006A073F">
        <w:rPr>
          <w:rFonts w:ascii="Times New Roman" w:hAnsi="Times New Roman" w:cs="Times New Roman"/>
          <w:bCs/>
          <w:color w:val="auto"/>
        </w:rPr>
        <w:t>sisteme</w:t>
      </w:r>
      <w:proofErr w:type="spellEnd"/>
      <w:r w:rsidRPr="006A073F">
        <w:rPr>
          <w:rFonts w:ascii="Times New Roman" w:hAnsi="Times New Roman" w:cs="Times New Roman"/>
          <w:bCs/>
          <w:color w:val="auto"/>
        </w:rPr>
        <w:t xml:space="preserve"> </w:t>
      </w:r>
      <w:proofErr w:type="spellStart"/>
      <w:r w:rsidRPr="006A073F">
        <w:rPr>
          <w:rFonts w:ascii="Times New Roman" w:hAnsi="Times New Roman" w:cs="Times New Roman"/>
          <w:bCs/>
          <w:color w:val="auto"/>
        </w:rPr>
        <w:t>inteligente</w:t>
      </w:r>
      <w:proofErr w:type="spellEnd"/>
      <w:r w:rsidRPr="006A073F">
        <w:rPr>
          <w:rFonts w:ascii="Times New Roman" w:hAnsi="Times New Roman" w:cs="Times New Roman"/>
          <w:bCs/>
          <w:color w:val="auto"/>
        </w:rPr>
        <w:t xml:space="preserve"> de control </w:t>
      </w:r>
      <w:proofErr w:type="spellStart"/>
      <w:r w:rsidRPr="006A073F">
        <w:rPr>
          <w:rFonts w:ascii="Times New Roman" w:hAnsi="Times New Roman" w:cs="Times New Roman"/>
          <w:bCs/>
          <w:color w:val="auto"/>
        </w:rPr>
        <w:t>și</w:t>
      </w:r>
      <w:proofErr w:type="spellEnd"/>
      <w:r w:rsidRPr="006A073F">
        <w:rPr>
          <w:rFonts w:ascii="Times New Roman" w:hAnsi="Times New Roman" w:cs="Times New Roman"/>
          <w:bCs/>
          <w:color w:val="auto"/>
        </w:rPr>
        <w:t xml:space="preserve"> a </w:t>
      </w:r>
      <w:proofErr w:type="spellStart"/>
      <w:r w:rsidRPr="006A073F">
        <w:rPr>
          <w:rFonts w:ascii="Times New Roman" w:hAnsi="Times New Roman" w:cs="Times New Roman"/>
          <w:bCs/>
          <w:color w:val="auto"/>
        </w:rPr>
        <w:t>principalilor</w:t>
      </w:r>
      <w:proofErr w:type="spellEnd"/>
      <w:r w:rsidRPr="006A073F">
        <w:rPr>
          <w:rFonts w:ascii="Times New Roman" w:hAnsi="Times New Roman" w:cs="Times New Roman"/>
          <w:bCs/>
          <w:color w:val="auto"/>
        </w:rPr>
        <w:t xml:space="preserve"> </w:t>
      </w:r>
      <w:proofErr w:type="spellStart"/>
      <w:r w:rsidRPr="006A073F">
        <w:rPr>
          <w:rFonts w:ascii="Times New Roman" w:hAnsi="Times New Roman" w:cs="Times New Roman"/>
          <w:bCs/>
          <w:color w:val="auto"/>
        </w:rPr>
        <w:t>stakeholderi</w:t>
      </w:r>
      <w:proofErr w:type="spellEnd"/>
      <w:r w:rsidRPr="006A073F">
        <w:rPr>
          <w:rFonts w:ascii="Times New Roman" w:hAnsi="Times New Roman"/>
          <w:bCs/>
          <w:color w:val="auto"/>
        </w:rPr>
        <w:t xml:space="preserve">, </w:t>
      </w:r>
      <w:proofErr w:type="spellStart"/>
      <w:r w:rsidRPr="006A073F">
        <w:rPr>
          <w:rFonts w:ascii="Times New Roman" w:hAnsi="Times New Roman"/>
          <w:bCs/>
          <w:color w:val="auto"/>
        </w:rPr>
        <w:t>proiectul</w:t>
      </w:r>
      <w:proofErr w:type="spellEnd"/>
      <w:r w:rsidRPr="006A073F">
        <w:rPr>
          <w:rFonts w:ascii="Times New Roman" w:hAnsi="Times New Roman"/>
          <w:bCs/>
          <w:color w:val="auto"/>
        </w:rPr>
        <w:t xml:space="preserve"> </w:t>
      </w:r>
      <w:r w:rsidRPr="006A073F">
        <w:rPr>
          <w:rFonts w:ascii="Times New Roman" w:hAnsi="Times New Roman" w:cs="Times New Roman"/>
          <w:color w:val="auto"/>
        </w:rPr>
        <w:t xml:space="preserve">„The potential for starting and developing a business for integrated technology based on heat pumps, thermal energy storage and smart control systems in order to enable the </w:t>
      </w:r>
      <w:proofErr w:type="spellStart"/>
      <w:r w:rsidRPr="006A073F">
        <w:rPr>
          <w:rFonts w:ascii="Times New Roman" w:hAnsi="Times New Roman" w:cs="Times New Roman"/>
          <w:color w:val="auto"/>
        </w:rPr>
        <w:t>decarbonization</w:t>
      </w:r>
      <w:proofErr w:type="spellEnd"/>
      <w:r w:rsidRPr="006A073F">
        <w:rPr>
          <w:rFonts w:ascii="Times New Roman" w:hAnsi="Times New Roman" w:cs="Times New Roman"/>
          <w:color w:val="auto"/>
        </w:rPr>
        <w:t xml:space="preserve"> </w:t>
      </w:r>
      <w:proofErr w:type="spellStart"/>
      <w:r w:rsidRPr="006A073F">
        <w:rPr>
          <w:rFonts w:ascii="Times New Roman" w:hAnsi="Times New Roman" w:cs="Times New Roman"/>
          <w:color w:val="auto"/>
        </w:rPr>
        <w:t>în</w:t>
      </w:r>
      <w:proofErr w:type="spellEnd"/>
      <w:r w:rsidRPr="006A073F">
        <w:rPr>
          <w:rFonts w:ascii="Times New Roman" w:hAnsi="Times New Roman" w:cs="Times New Roman"/>
          <w:color w:val="auto"/>
        </w:rPr>
        <w:t xml:space="preserve"> Romania”.</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Penaloza D, Mata E, Fransson N, Friden H, Samperio A, Quijano A, Cuneo A, (2022) Social and market acceptance of photovoltaic panels and heat pumps in Europe: A literature review and survey, Renewable and Sustainable Energy Reviews 155, 111867</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lang w:val="de-DE"/>
        </w:rPr>
        <w:t xml:space="preserve">Sopha, B. M., Klöckner, C. A., Skjevrak, G., &amp; Hertwich, E. G. (2010). </w:t>
      </w:r>
      <w:r w:rsidRPr="006A073F">
        <w:rPr>
          <w:rFonts w:ascii="Times New Roman" w:hAnsi="Times New Roman"/>
          <w:color w:val="auto"/>
          <w:sz w:val="24"/>
          <w:szCs w:val="24"/>
        </w:rPr>
        <w:t xml:space="preserve">Norwegian households’ perception of wood pellet stove compared to air-to-air heat pump and electric heating. </w:t>
      </w:r>
      <w:r w:rsidRPr="006A073F">
        <w:rPr>
          <w:rFonts w:ascii="Times New Roman" w:hAnsi="Times New Roman"/>
          <w:i/>
          <w:iCs/>
          <w:color w:val="auto"/>
          <w:sz w:val="24"/>
          <w:szCs w:val="24"/>
        </w:rPr>
        <w:t>Energy Policy, 38</w:t>
      </w:r>
      <w:r w:rsidRPr="006A073F">
        <w:rPr>
          <w:rFonts w:ascii="Times New Roman" w:hAnsi="Times New Roman"/>
          <w:color w:val="auto"/>
          <w:sz w:val="24"/>
          <w:szCs w:val="24"/>
        </w:rPr>
        <w:t>(7), 3744-3754.</w:t>
      </w:r>
    </w:p>
    <w:p w:rsidR="00661681" w:rsidRPr="006A073F" w:rsidRDefault="00661681" w:rsidP="00EC2F2F">
      <w:pPr>
        <w:tabs>
          <w:tab w:val="left" w:pos="360"/>
        </w:tabs>
        <w:spacing w:line="360" w:lineRule="auto"/>
        <w:rPr>
          <w:rFonts w:ascii="Times New Roman" w:hAnsi="Times New Roman"/>
          <w:color w:val="auto"/>
          <w:sz w:val="24"/>
          <w:szCs w:val="24"/>
        </w:rPr>
      </w:pPr>
      <w:r w:rsidRPr="006A073F">
        <w:rPr>
          <w:rFonts w:ascii="Times New Roman" w:hAnsi="Times New Roman"/>
          <w:color w:val="auto"/>
          <w:sz w:val="24"/>
          <w:szCs w:val="24"/>
        </w:rPr>
        <w:t xml:space="preserve">Staiger, R., Tantau, A. (2015): Energy efficiency model for small/medium geothermal heat pump systems, </w:t>
      </w:r>
      <w:r w:rsidRPr="006A073F">
        <w:rPr>
          <w:rFonts w:ascii="Times New Roman" w:hAnsi="Times New Roman"/>
          <w:i/>
          <w:iCs/>
          <w:color w:val="auto"/>
          <w:sz w:val="24"/>
          <w:szCs w:val="24"/>
        </w:rPr>
        <w:t>Review Management &amp; Marketing</w:t>
      </w:r>
      <w:r w:rsidRPr="006A073F">
        <w:rPr>
          <w:rFonts w:ascii="Times New Roman" w:hAnsi="Times New Roman"/>
          <w:color w:val="auto"/>
          <w:sz w:val="24"/>
          <w:szCs w:val="24"/>
        </w:rPr>
        <w:t>, Vol.10(1), pp: 12-33, 2015, ISSN 1842-0206.</w:t>
      </w:r>
    </w:p>
    <w:p w:rsidR="00547038" w:rsidRPr="006A073F" w:rsidRDefault="00A05996"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t>Stern, D. &amp; Kaufmann, R. (2014), Anthropogenic and natural causes of climate change</w:t>
      </w:r>
      <w:r w:rsidRPr="006A073F">
        <w:rPr>
          <w:rFonts w:ascii="Times New Roman" w:hAnsi="Times New Roman"/>
          <w:i/>
          <w:iCs/>
          <w:color w:val="auto"/>
          <w:sz w:val="24"/>
          <w:szCs w:val="24"/>
        </w:rPr>
        <w:t>, Climatic Change</w:t>
      </w:r>
      <w:r w:rsidRPr="006A073F">
        <w:rPr>
          <w:rFonts w:ascii="Times New Roman" w:hAnsi="Times New Roman"/>
          <w:color w:val="auto"/>
          <w:sz w:val="24"/>
          <w:szCs w:val="24"/>
        </w:rPr>
        <w:t>, 122(1-2), Nov., pp: 257–269, DOI: 10.1007/s10584-013-1007-x</w:t>
      </w:r>
    </w:p>
    <w:p w:rsidR="00C34745" w:rsidRPr="006A073F" w:rsidRDefault="00C34745"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lang w:val="de-DE"/>
        </w:rPr>
        <w:t xml:space="preserve">Thomaßen, G., Kavvadias, K., &amp; Navarro, J. P. J. (2021). </w:t>
      </w:r>
      <w:r w:rsidRPr="006A073F">
        <w:rPr>
          <w:rFonts w:ascii="Times New Roman" w:hAnsi="Times New Roman"/>
          <w:color w:val="auto"/>
          <w:sz w:val="24"/>
          <w:szCs w:val="24"/>
        </w:rPr>
        <w:t xml:space="preserve">The decarbonisation of the EU heating sector through electrification: A parametric analysis. </w:t>
      </w:r>
      <w:r w:rsidRPr="006A073F">
        <w:rPr>
          <w:rFonts w:ascii="Times New Roman" w:hAnsi="Times New Roman"/>
          <w:i/>
          <w:iCs/>
          <w:color w:val="auto"/>
          <w:sz w:val="24"/>
          <w:szCs w:val="24"/>
        </w:rPr>
        <w:t>Energy Policy</w:t>
      </w:r>
      <w:r w:rsidRPr="006A073F">
        <w:rPr>
          <w:rFonts w:ascii="Times New Roman" w:hAnsi="Times New Roman"/>
          <w:color w:val="auto"/>
          <w:sz w:val="24"/>
          <w:szCs w:val="24"/>
        </w:rPr>
        <w:t xml:space="preserve">, </w:t>
      </w:r>
      <w:r w:rsidRPr="006A073F">
        <w:rPr>
          <w:rFonts w:ascii="Times New Roman" w:hAnsi="Times New Roman"/>
          <w:i/>
          <w:iCs/>
          <w:color w:val="auto"/>
          <w:sz w:val="24"/>
          <w:szCs w:val="24"/>
        </w:rPr>
        <w:t>148</w:t>
      </w:r>
      <w:r w:rsidRPr="006A073F">
        <w:rPr>
          <w:rFonts w:ascii="Times New Roman" w:hAnsi="Times New Roman"/>
          <w:color w:val="auto"/>
          <w:sz w:val="24"/>
          <w:szCs w:val="24"/>
        </w:rPr>
        <w:t>, 111929.</w:t>
      </w:r>
    </w:p>
    <w:p w:rsidR="0090519D" w:rsidRPr="006A073F" w:rsidRDefault="0090519D" w:rsidP="00EC2F2F">
      <w:pPr>
        <w:pStyle w:val="CitaviLiteraturverzeichnis"/>
        <w:spacing w:line="360" w:lineRule="auto"/>
        <w:rPr>
          <w:rFonts w:ascii="Times New Roman" w:hAnsi="Times New Roman" w:cs="Times New Roman"/>
          <w:sz w:val="24"/>
          <w:szCs w:val="24"/>
          <w:lang w:val="de-DE"/>
        </w:rPr>
      </w:pPr>
      <w:r w:rsidRPr="006A073F">
        <w:rPr>
          <w:rFonts w:ascii="Times New Roman" w:hAnsi="Times New Roman" w:cs="Times New Roman"/>
          <w:sz w:val="24"/>
          <w:szCs w:val="24"/>
          <w:lang w:val="de-DE"/>
        </w:rPr>
        <w:t xml:space="preserve">UBA (2019) Schätzung der Umweltkosten in den Bereichen Energie und Verkehr. https://www.umweltbundesamt.de/sites/default/files/medien/378/publikationen/hgp_umweltkosten_0.pdf, </w:t>
      </w:r>
    </w:p>
    <w:p w:rsidR="00072431" w:rsidRPr="006A073F" w:rsidRDefault="00072431" w:rsidP="00EC2F2F">
      <w:pPr>
        <w:autoSpaceDE w:val="0"/>
        <w:autoSpaceDN w:val="0"/>
        <w:adjustRightInd w:val="0"/>
        <w:spacing w:line="360" w:lineRule="auto"/>
        <w:rPr>
          <w:rFonts w:ascii="Times New Roman" w:hAnsi="Times New Roman"/>
          <w:color w:val="auto"/>
          <w:sz w:val="24"/>
          <w:szCs w:val="24"/>
        </w:rPr>
      </w:pPr>
      <w:r w:rsidRPr="006A073F">
        <w:rPr>
          <w:rFonts w:ascii="Times New Roman" w:hAnsi="Times New Roman"/>
          <w:color w:val="auto"/>
          <w:sz w:val="24"/>
          <w:szCs w:val="24"/>
        </w:rPr>
        <w:lastRenderedPageBreak/>
        <w:t xml:space="preserve">Vallero, D. (2014), </w:t>
      </w:r>
      <w:r w:rsidRPr="006A073F">
        <w:rPr>
          <w:rFonts w:ascii="Times New Roman" w:hAnsi="Times New Roman"/>
          <w:i/>
          <w:iCs/>
          <w:color w:val="auto"/>
          <w:sz w:val="24"/>
          <w:szCs w:val="24"/>
        </w:rPr>
        <w:t>Fundamentals of air pollution</w:t>
      </w:r>
      <w:r w:rsidRPr="006A073F">
        <w:rPr>
          <w:rFonts w:ascii="Times New Roman" w:hAnsi="Times New Roman"/>
          <w:color w:val="auto"/>
          <w:sz w:val="24"/>
          <w:szCs w:val="24"/>
        </w:rPr>
        <w:t>, 5</w:t>
      </w:r>
      <w:r w:rsidRPr="006A073F">
        <w:rPr>
          <w:rFonts w:ascii="Times New Roman" w:hAnsi="Times New Roman"/>
          <w:color w:val="auto"/>
          <w:sz w:val="24"/>
          <w:szCs w:val="24"/>
          <w:vertAlign w:val="superscript"/>
        </w:rPr>
        <w:t>th</w:t>
      </w:r>
      <w:r w:rsidRPr="006A073F">
        <w:rPr>
          <w:rFonts w:ascii="Times New Roman" w:hAnsi="Times New Roman"/>
          <w:color w:val="auto"/>
          <w:sz w:val="24"/>
          <w:szCs w:val="24"/>
        </w:rPr>
        <w:t xml:space="preserve"> eds., eBook ISBN: 9780124046023; 9780124017337, Academic Press</w:t>
      </w:r>
    </w:p>
    <w:p w:rsidR="00C34745" w:rsidRPr="006A073F" w:rsidRDefault="00C34745" w:rsidP="00EC2F2F">
      <w:pPr>
        <w:spacing w:line="360" w:lineRule="auto"/>
        <w:rPr>
          <w:rFonts w:ascii="Times New Roman" w:hAnsi="Times New Roman"/>
          <w:color w:val="auto"/>
          <w:sz w:val="24"/>
          <w:szCs w:val="24"/>
        </w:rPr>
      </w:pPr>
    </w:p>
    <w:sectPr w:rsidR="00C34745" w:rsidRPr="006A073F">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9B9" w:rsidRDefault="007219B9" w:rsidP="004539AF">
      <w:pPr>
        <w:spacing w:line="240" w:lineRule="auto"/>
      </w:pPr>
      <w:r>
        <w:separator/>
      </w:r>
    </w:p>
  </w:endnote>
  <w:endnote w:type="continuationSeparator" w:id="0">
    <w:p w:rsidR="007219B9" w:rsidRDefault="007219B9" w:rsidP="004539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haris SIL">
    <w:altName w:val="Charis SI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val="0"/>
      </w:rPr>
      <w:id w:val="-1037199393"/>
      <w:docPartObj>
        <w:docPartGallery w:val="Page Numbers (Bottom of Page)"/>
        <w:docPartUnique/>
      </w:docPartObj>
    </w:sdtPr>
    <w:sdtEndPr>
      <w:rPr>
        <w:noProof/>
      </w:rPr>
    </w:sdtEndPr>
    <w:sdtContent>
      <w:p w:rsidR="004539AF" w:rsidRDefault="004539AF">
        <w:pPr>
          <w:pStyle w:val="Footer"/>
          <w:jc w:val="right"/>
        </w:pPr>
        <w:r>
          <w:rPr>
            <w:noProof w:val="0"/>
          </w:rPr>
          <w:fldChar w:fldCharType="begin"/>
        </w:r>
        <w:r>
          <w:instrText xml:space="preserve"> PAGE   \* MERGEFORMAT </w:instrText>
        </w:r>
        <w:r>
          <w:rPr>
            <w:noProof w:val="0"/>
          </w:rPr>
          <w:fldChar w:fldCharType="separate"/>
        </w:r>
        <w:r w:rsidR="00145E79">
          <w:t>6</w:t>
        </w:r>
        <w:r>
          <w:fldChar w:fldCharType="end"/>
        </w:r>
      </w:p>
    </w:sdtContent>
  </w:sdt>
  <w:p w:rsidR="004539AF" w:rsidRDefault="004539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9B9" w:rsidRDefault="007219B9" w:rsidP="004539AF">
      <w:pPr>
        <w:spacing w:line="240" w:lineRule="auto"/>
      </w:pPr>
      <w:r>
        <w:separator/>
      </w:r>
    </w:p>
  </w:footnote>
  <w:footnote w:type="continuationSeparator" w:id="0">
    <w:p w:rsidR="007219B9" w:rsidRDefault="007219B9" w:rsidP="004539A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1567C"/>
    <w:multiLevelType w:val="multilevel"/>
    <w:tmpl w:val="3EFA5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EB020F"/>
    <w:multiLevelType w:val="hybridMultilevel"/>
    <w:tmpl w:val="653C3328"/>
    <w:lvl w:ilvl="0" w:tplc="47A015A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224658"/>
    <w:multiLevelType w:val="hybridMultilevel"/>
    <w:tmpl w:val="E4F63E52"/>
    <w:lvl w:ilvl="0" w:tplc="04070015">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A83E6D"/>
    <w:multiLevelType w:val="hybridMultilevel"/>
    <w:tmpl w:val="2D4E95D2"/>
    <w:lvl w:ilvl="0" w:tplc="04070015">
      <w:start w:val="1"/>
      <w:numFmt w:val="decimal"/>
      <w:lvlText w:val="(%1)"/>
      <w:lvlJc w:val="left"/>
      <w:pPr>
        <w:ind w:left="1260" w:hanging="360"/>
      </w:pPr>
    </w:lvl>
    <w:lvl w:ilvl="1" w:tplc="08090019" w:tentative="1">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F"/>
    <w:rsid w:val="00072431"/>
    <w:rsid w:val="000A4B70"/>
    <w:rsid w:val="00113960"/>
    <w:rsid w:val="00145E79"/>
    <w:rsid w:val="001926FA"/>
    <w:rsid w:val="00207340"/>
    <w:rsid w:val="00235E54"/>
    <w:rsid w:val="00242E31"/>
    <w:rsid w:val="00280033"/>
    <w:rsid w:val="00295EAF"/>
    <w:rsid w:val="002C0FBB"/>
    <w:rsid w:val="00374F1A"/>
    <w:rsid w:val="00400BF4"/>
    <w:rsid w:val="004539AF"/>
    <w:rsid w:val="004848FD"/>
    <w:rsid w:val="004B160D"/>
    <w:rsid w:val="005367AE"/>
    <w:rsid w:val="00537E5B"/>
    <w:rsid w:val="00547038"/>
    <w:rsid w:val="00571F30"/>
    <w:rsid w:val="00574196"/>
    <w:rsid w:val="005C2E4A"/>
    <w:rsid w:val="005C6E58"/>
    <w:rsid w:val="00636CA0"/>
    <w:rsid w:val="00661681"/>
    <w:rsid w:val="006A073F"/>
    <w:rsid w:val="006D1866"/>
    <w:rsid w:val="007219B9"/>
    <w:rsid w:val="007B189D"/>
    <w:rsid w:val="007B7778"/>
    <w:rsid w:val="007D06A2"/>
    <w:rsid w:val="007E0F48"/>
    <w:rsid w:val="008567A4"/>
    <w:rsid w:val="00891B2C"/>
    <w:rsid w:val="008B3301"/>
    <w:rsid w:val="0090519D"/>
    <w:rsid w:val="00912043"/>
    <w:rsid w:val="00915501"/>
    <w:rsid w:val="0096171A"/>
    <w:rsid w:val="00973613"/>
    <w:rsid w:val="009A71AB"/>
    <w:rsid w:val="009E54D9"/>
    <w:rsid w:val="00A05996"/>
    <w:rsid w:val="00A06522"/>
    <w:rsid w:val="00A60332"/>
    <w:rsid w:val="00B349A0"/>
    <w:rsid w:val="00B45C72"/>
    <w:rsid w:val="00C34745"/>
    <w:rsid w:val="00C94317"/>
    <w:rsid w:val="00CD3A7C"/>
    <w:rsid w:val="00D4675B"/>
    <w:rsid w:val="00D830EB"/>
    <w:rsid w:val="00DA48A9"/>
    <w:rsid w:val="00E64E5B"/>
    <w:rsid w:val="00E753BF"/>
    <w:rsid w:val="00EB1635"/>
    <w:rsid w:val="00EC2F2F"/>
    <w:rsid w:val="00FA1DF3"/>
    <w:rsid w:val="00FD3B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EB5D4C-4744-42A5-AD2B-4A4DEB9A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7C"/>
    <w:pPr>
      <w:spacing w:after="0" w:line="260" w:lineRule="atLeast"/>
      <w:jc w:val="both"/>
    </w:pPr>
    <w:rPr>
      <w:rFonts w:ascii="Palatino Linotype" w:eastAsia="SimSun" w:hAnsi="Palatino Linotype" w:cs="Times New Roman"/>
      <w:noProof/>
      <w:color w:val="000000"/>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34745"/>
    <w:rPr>
      <w:color w:val="0000FF"/>
      <w:u w:val="single"/>
    </w:rPr>
  </w:style>
  <w:style w:type="paragraph" w:customStyle="1" w:styleId="Default">
    <w:name w:val="Default"/>
    <w:rsid w:val="00C34745"/>
    <w:pPr>
      <w:autoSpaceDE w:val="0"/>
      <w:autoSpaceDN w:val="0"/>
      <w:adjustRightInd w:val="0"/>
      <w:spacing w:after="0" w:line="240" w:lineRule="auto"/>
    </w:pPr>
    <w:rPr>
      <w:rFonts w:ascii="Charis SIL" w:hAnsi="Charis SIL" w:cs="Charis SIL"/>
      <w:color w:val="000000"/>
      <w:sz w:val="24"/>
      <w:szCs w:val="24"/>
    </w:rPr>
  </w:style>
  <w:style w:type="character" w:styleId="Strong">
    <w:name w:val="Strong"/>
    <w:basedOn w:val="DefaultParagraphFont"/>
    <w:uiPriority w:val="22"/>
    <w:qFormat/>
    <w:rsid w:val="00C34745"/>
    <w:rPr>
      <w:b/>
      <w:bCs/>
    </w:rPr>
  </w:style>
  <w:style w:type="character" w:customStyle="1" w:styleId="anchor-text">
    <w:name w:val="anchor-text"/>
    <w:basedOn w:val="DefaultParagraphFont"/>
    <w:rsid w:val="00C34745"/>
  </w:style>
  <w:style w:type="character" w:customStyle="1" w:styleId="authors">
    <w:name w:val="authors"/>
    <w:basedOn w:val="DefaultParagraphFont"/>
    <w:rsid w:val="00C34745"/>
  </w:style>
  <w:style w:type="character" w:customStyle="1" w:styleId="Date1">
    <w:name w:val="Date1"/>
    <w:basedOn w:val="DefaultParagraphFont"/>
    <w:rsid w:val="00C34745"/>
  </w:style>
  <w:style w:type="character" w:customStyle="1" w:styleId="arttitle">
    <w:name w:val="art_title"/>
    <w:basedOn w:val="DefaultParagraphFont"/>
    <w:rsid w:val="00C34745"/>
  </w:style>
  <w:style w:type="character" w:customStyle="1" w:styleId="serialtitle">
    <w:name w:val="serial_title"/>
    <w:basedOn w:val="DefaultParagraphFont"/>
    <w:rsid w:val="00C34745"/>
  </w:style>
  <w:style w:type="character" w:customStyle="1" w:styleId="volumeissue">
    <w:name w:val="volume_issue"/>
    <w:basedOn w:val="DefaultParagraphFont"/>
    <w:rsid w:val="00C34745"/>
  </w:style>
  <w:style w:type="character" w:customStyle="1" w:styleId="pagerange">
    <w:name w:val="page_range"/>
    <w:basedOn w:val="DefaultParagraphFont"/>
    <w:rsid w:val="00C34745"/>
  </w:style>
  <w:style w:type="character" w:customStyle="1" w:styleId="doilink">
    <w:name w:val="doi_link"/>
    <w:basedOn w:val="DefaultParagraphFont"/>
    <w:rsid w:val="00C34745"/>
  </w:style>
  <w:style w:type="paragraph" w:styleId="BodyText">
    <w:name w:val="Body Text"/>
    <w:basedOn w:val="Normal"/>
    <w:link w:val="BodyTextChar"/>
    <w:uiPriority w:val="1"/>
    <w:qFormat/>
    <w:rsid w:val="005C2E4A"/>
    <w:pPr>
      <w:widowControl w:val="0"/>
      <w:autoSpaceDE w:val="0"/>
      <w:autoSpaceDN w:val="0"/>
      <w:spacing w:line="240" w:lineRule="auto"/>
      <w:jc w:val="left"/>
    </w:pPr>
    <w:rPr>
      <w:rFonts w:ascii="Calibri" w:eastAsia="Calibri" w:hAnsi="Calibri" w:cs="Calibri"/>
      <w:noProof w:val="0"/>
      <w:color w:val="auto"/>
      <w:sz w:val="22"/>
      <w:szCs w:val="22"/>
      <w:lang w:eastAsia="en-US"/>
    </w:rPr>
  </w:style>
  <w:style w:type="character" w:customStyle="1" w:styleId="BodyTextChar">
    <w:name w:val="Body Text Char"/>
    <w:basedOn w:val="DefaultParagraphFont"/>
    <w:link w:val="BodyText"/>
    <w:uiPriority w:val="1"/>
    <w:rsid w:val="005C2E4A"/>
    <w:rPr>
      <w:rFonts w:ascii="Calibri" w:eastAsia="Calibri" w:hAnsi="Calibri" w:cs="Calibri"/>
    </w:rPr>
  </w:style>
  <w:style w:type="paragraph" w:styleId="NormalWeb">
    <w:name w:val="Normal (Web)"/>
    <w:basedOn w:val="Normal"/>
    <w:rsid w:val="00E64E5B"/>
    <w:pPr>
      <w:spacing w:before="100" w:beforeAutospacing="1" w:after="100" w:afterAutospacing="1" w:line="240" w:lineRule="auto"/>
      <w:jc w:val="left"/>
    </w:pPr>
    <w:rPr>
      <w:rFonts w:ascii="Times New Roman" w:eastAsia="Times New Roman" w:hAnsi="Times New Roman"/>
      <w:noProof w:val="0"/>
      <w:color w:val="auto"/>
      <w:sz w:val="24"/>
      <w:szCs w:val="24"/>
      <w:lang w:eastAsia="en-US"/>
    </w:rPr>
  </w:style>
  <w:style w:type="paragraph" w:styleId="Header">
    <w:name w:val="header"/>
    <w:basedOn w:val="Normal"/>
    <w:link w:val="HeaderChar"/>
    <w:uiPriority w:val="99"/>
    <w:unhideWhenUsed/>
    <w:rsid w:val="004539AF"/>
    <w:pPr>
      <w:tabs>
        <w:tab w:val="center" w:pos="4680"/>
        <w:tab w:val="right" w:pos="9360"/>
      </w:tabs>
      <w:spacing w:line="240" w:lineRule="auto"/>
    </w:pPr>
  </w:style>
  <w:style w:type="character" w:customStyle="1" w:styleId="HeaderChar">
    <w:name w:val="Header Char"/>
    <w:basedOn w:val="DefaultParagraphFont"/>
    <w:link w:val="Header"/>
    <w:uiPriority w:val="99"/>
    <w:rsid w:val="004539AF"/>
    <w:rPr>
      <w:rFonts w:ascii="Palatino Linotype" w:eastAsia="SimSun" w:hAnsi="Palatino Linotype" w:cs="Times New Roman"/>
      <w:noProof/>
      <w:color w:val="000000"/>
      <w:sz w:val="20"/>
      <w:szCs w:val="20"/>
      <w:lang w:eastAsia="zh-CN"/>
    </w:rPr>
  </w:style>
  <w:style w:type="paragraph" w:styleId="Footer">
    <w:name w:val="footer"/>
    <w:basedOn w:val="Normal"/>
    <w:link w:val="FooterChar"/>
    <w:uiPriority w:val="99"/>
    <w:unhideWhenUsed/>
    <w:rsid w:val="004539AF"/>
    <w:pPr>
      <w:tabs>
        <w:tab w:val="center" w:pos="4680"/>
        <w:tab w:val="right" w:pos="9360"/>
      </w:tabs>
      <w:spacing w:line="240" w:lineRule="auto"/>
    </w:pPr>
  </w:style>
  <w:style w:type="character" w:customStyle="1" w:styleId="FooterChar">
    <w:name w:val="Footer Char"/>
    <w:basedOn w:val="DefaultParagraphFont"/>
    <w:link w:val="Footer"/>
    <w:uiPriority w:val="99"/>
    <w:rsid w:val="004539AF"/>
    <w:rPr>
      <w:rFonts w:ascii="Palatino Linotype" w:eastAsia="SimSun" w:hAnsi="Palatino Linotype" w:cs="Times New Roman"/>
      <w:noProof/>
      <w:color w:val="000000"/>
      <w:sz w:val="20"/>
      <w:szCs w:val="20"/>
      <w:lang w:eastAsia="zh-CN"/>
    </w:rPr>
  </w:style>
  <w:style w:type="paragraph" w:styleId="ListParagraph">
    <w:name w:val="List Paragraph"/>
    <w:basedOn w:val="Normal"/>
    <w:uiPriority w:val="34"/>
    <w:qFormat/>
    <w:rsid w:val="008B3301"/>
    <w:pPr>
      <w:spacing w:after="200" w:line="276" w:lineRule="auto"/>
      <w:ind w:left="720"/>
      <w:contextualSpacing/>
      <w:jc w:val="left"/>
    </w:pPr>
    <w:rPr>
      <w:rFonts w:ascii="Calibri" w:eastAsia="Times New Roman" w:hAnsi="Calibri"/>
      <w:noProof w:val="0"/>
      <w:color w:val="auto"/>
      <w:sz w:val="22"/>
      <w:szCs w:val="22"/>
      <w:lang w:val="en-GB" w:eastAsia="en-US"/>
    </w:rPr>
  </w:style>
  <w:style w:type="paragraph" w:customStyle="1" w:styleId="CitaviLiteraturverzeichnis">
    <w:name w:val="Citavi Literaturverzeichnis"/>
    <w:uiPriority w:val="99"/>
    <w:rsid w:val="0090519D"/>
    <w:pPr>
      <w:autoSpaceDE w:val="0"/>
      <w:autoSpaceDN w:val="0"/>
      <w:adjustRightInd w:val="0"/>
      <w:spacing w:after="120" w:line="240" w:lineRule="auto"/>
    </w:pPr>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respol.2019.10383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a.blob.core.windows.net/assets/4713780d-c0ae-4686-8c9b-29e782452695/TheFutureofHeatPump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refrig.2019.02.02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reenpeace.org/romania/articol/8320/cum-functioneaza-o-pompa-de-caldura-si-de-ce-ar-trebui-sa-ti-pese/" TargetMode="External"/><Relationship Id="rId4" Type="http://schemas.openxmlformats.org/officeDocument/2006/relationships/settings" Target="settings.xml"/><Relationship Id="rId9" Type="http://schemas.openxmlformats.org/officeDocument/2006/relationships/hyperlink" Target="https://www.consilium.europa.eu/en/policies/green-deal/fit-for-55-the-eu-plan-for-a-green-transition/" TargetMode="External"/><Relationship Id="rId14" Type="http://schemas.openxmlformats.org/officeDocument/2006/relationships/hyperlink" Target="https://econpapers.repec.org/article/eeeenergy/v_3a68_3ay_3a2014_3ai_3ac_3ap_3a811-8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F1520-CFC0-43DC-9272-7611DCC2F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6</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52</cp:revision>
  <dcterms:created xsi:type="dcterms:W3CDTF">2023-09-25T05:53:00Z</dcterms:created>
  <dcterms:modified xsi:type="dcterms:W3CDTF">2023-09-27T07:09:00Z</dcterms:modified>
</cp:coreProperties>
</file>