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43F0" w:rsidRPr="008F1E49" w:rsidRDefault="00F7337C">
      <w:pPr>
        <w:rPr>
          <w:rFonts w:ascii="Times New Roman" w:hAnsi="Times New Roman" w:cs="Times New Roman"/>
          <w:b/>
          <w:sz w:val="24"/>
          <w:szCs w:val="24"/>
          <w:lang w:val="ro-RO"/>
        </w:rPr>
      </w:pPr>
      <w:r w:rsidRPr="008F1E49">
        <w:rPr>
          <w:rFonts w:ascii="Times New Roman" w:hAnsi="Times New Roman" w:cs="Times New Roman"/>
          <w:b/>
          <w:sz w:val="24"/>
          <w:szCs w:val="24"/>
        </w:rPr>
        <w:t>Percep</w:t>
      </w:r>
      <w:r w:rsidRPr="008F1E49">
        <w:rPr>
          <w:rFonts w:ascii="Times New Roman" w:hAnsi="Times New Roman" w:cs="Times New Roman"/>
          <w:b/>
          <w:sz w:val="24"/>
          <w:szCs w:val="24"/>
          <w:lang w:val="ro-RO"/>
        </w:rPr>
        <w:t xml:space="preserve">ția consumatorilor din România asupra </w:t>
      </w:r>
      <w:r w:rsidR="002F5022">
        <w:rPr>
          <w:rFonts w:ascii="Times New Roman" w:hAnsi="Times New Roman" w:cs="Times New Roman"/>
          <w:b/>
          <w:sz w:val="24"/>
          <w:szCs w:val="24"/>
          <w:lang w:val="ro-RO"/>
        </w:rPr>
        <w:t xml:space="preserve">sistemelor integrate bazate pe </w:t>
      </w:r>
      <w:r w:rsidRPr="008F1E49">
        <w:rPr>
          <w:rFonts w:ascii="Times New Roman" w:hAnsi="Times New Roman" w:cs="Times New Roman"/>
          <w:b/>
          <w:sz w:val="24"/>
          <w:szCs w:val="24"/>
          <w:lang w:val="ro-RO"/>
        </w:rPr>
        <w:t>pompe de căldură</w:t>
      </w:r>
      <w:r w:rsidR="00A55A5A">
        <w:rPr>
          <w:rFonts w:ascii="Times New Roman" w:hAnsi="Times New Roman" w:cs="Times New Roman"/>
          <w:b/>
          <w:sz w:val="24"/>
          <w:szCs w:val="24"/>
          <w:lang w:val="ro-RO"/>
        </w:rPr>
        <w:t xml:space="preserve"> din perspectiva protecției mediului ș</w:t>
      </w:r>
      <w:proofErr w:type="gramStart"/>
      <w:r w:rsidR="00A55A5A">
        <w:rPr>
          <w:rFonts w:ascii="Times New Roman" w:hAnsi="Times New Roman" w:cs="Times New Roman"/>
          <w:b/>
          <w:sz w:val="24"/>
          <w:szCs w:val="24"/>
          <w:lang w:val="ro-RO"/>
        </w:rPr>
        <w:t>i  reducerii</w:t>
      </w:r>
      <w:proofErr w:type="gramEnd"/>
      <w:r w:rsidR="00A55A5A">
        <w:rPr>
          <w:rFonts w:ascii="Times New Roman" w:hAnsi="Times New Roman" w:cs="Times New Roman"/>
          <w:b/>
          <w:sz w:val="24"/>
          <w:szCs w:val="24"/>
          <w:lang w:val="ro-RO"/>
        </w:rPr>
        <w:t xml:space="preserve"> emisiilor de gaze cu efect de seră</w:t>
      </w:r>
    </w:p>
    <w:p w:rsidR="008F1E49" w:rsidRPr="008F1E49" w:rsidRDefault="008F1E49" w:rsidP="008F1E49">
      <w:pPr>
        <w:pStyle w:val="Default"/>
        <w:rPr>
          <w:rFonts w:ascii="Times New Roman" w:hAnsi="Times New Roman" w:cs="Times New Roman"/>
        </w:rPr>
      </w:pPr>
    </w:p>
    <w:p w:rsidR="00C01A2B" w:rsidRPr="00C01A2B" w:rsidRDefault="00C01A2B" w:rsidP="00C01A2B">
      <w:pPr>
        <w:pStyle w:val="MDPI13authornames"/>
        <w:rPr>
          <w:rFonts w:ascii="Times New Roman" w:hAnsi="Times New Roman"/>
          <w:b w:val="0"/>
          <w:bCs/>
          <w:sz w:val="22"/>
          <w:vertAlign w:val="superscript"/>
        </w:rPr>
      </w:pPr>
      <w:r w:rsidRPr="00C01A2B">
        <w:rPr>
          <w:rFonts w:ascii="Times New Roman" w:hAnsi="Times New Roman"/>
          <w:b w:val="0"/>
          <w:sz w:val="22"/>
        </w:rPr>
        <w:t>Adrian Tantau, Simona Irina Goia, Violeta Mihaela Dincă, Carmen Păunescu, Stere Stamule, Tănase Stamule</w:t>
      </w:r>
      <w:r w:rsidRPr="00C01A2B">
        <w:rPr>
          <w:rFonts w:ascii="Times New Roman" w:hAnsi="Times New Roman"/>
          <w:b w:val="0"/>
          <w:sz w:val="22"/>
        </w:rPr>
        <w:t>,</w:t>
      </w:r>
      <w:r w:rsidRPr="00C01A2B">
        <w:rPr>
          <w:rFonts w:ascii="Times New Roman" w:hAnsi="Times New Roman"/>
          <w:b w:val="0"/>
          <w:sz w:val="22"/>
        </w:rPr>
        <w:t xml:space="preserve"> Anca Bogdan </w:t>
      </w:r>
    </w:p>
    <w:p w:rsidR="006D093F" w:rsidRPr="00A941D4" w:rsidRDefault="006D093F" w:rsidP="008F1E49">
      <w:pPr>
        <w:pStyle w:val="Default"/>
        <w:rPr>
          <w:rFonts w:ascii="Times New Roman" w:hAnsi="Times New Roman" w:cs="Times New Roman"/>
          <w:sz w:val="22"/>
          <w:szCs w:val="22"/>
        </w:rPr>
      </w:pPr>
      <w:bookmarkStart w:id="0" w:name="_GoBack"/>
      <w:bookmarkEnd w:id="0"/>
    </w:p>
    <w:p w:rsidR="008F1E49" w:rsidRPr="00A941D4" w:rsidRDefault="008F1E49" w:rsidP="008F1E49">
      <w:pPr>
        <w:pStyle w:val="Default"/>
        <w:rPr>
          <w:rFonts w:ascii="Times New Roman" w:hAnsi="Times New Roman" w:cs="Times New Roman"/>
          <w:iCs/>
          <w:sz w:val="22"/>
          <w:szCs w:val="22"/>
        </w:rPr>
      </w:pPr>
      <w:r w:rsidRPr="00A941D4">
        <w:rPr>
          <w:rFonts w:ascii="Times New Roman" w:hAnsi="Times New Roman" w:cs="Times New Roman"/>
          <w:iCs/>
          <w:sz w:val="22"/>
          <w:szCs w:val="22"/>
        </w:rPr>
        <w:t xml:space="preserve">Academia de Studii Economice din București, Romania </w:t>
      </w:r>
    </w:p>
    <w:p w:rsidR="00B302F8" w:rsidRDefault="00B302F8" w:rsidP="008F1E49">
      <w:pPr>
        <w:pStyle w:val="Default"/>
        <w:rPr>
          <w:rFonts w:ascii="Times New Roman" w:hAnsi="Times New Roman" w:cs="Times New Roman"/>
          <w:iCs/>
        </w:rPr>
      </w:pPr>
    </w:p>
    <w:p w:rsidR="00B302F8" w:rsidRDefault="00B302F8" w:rsidP="008F1E49">
      <w:pPr>
        <w:pStyle w:val="Default"/>
        <w:rPr>
          <w:rFonts w:ascii="Times New Roman" w:hAnsi="Times New Roman" w:cs="Times New Roman"/>
          <w:iCs/>
        </w:rPr>
      </w:pPr>
    </w:p>
    <w:p w:rsidR="00B302F8" w:rsidRPr="00710CA9" w:rsidRDefault="00710CA9" w:rsidP="00710CA9">
      <w:pPr>
        <w:pStyle w:val="Default"/>
        <w:numPr>
          <w:ilvl w:val="0"/>
          <w:numId w:val="1"/>
        </w:numPr>
        <w:rPr>
          <w:rFonts w:ascii="Times New Roman" w:hAnsi="Times New Roman" w:cs="Times New Roman"/>
          <w:b/>
          <w:iCs/>
        </w:rPr>
      </w:pPr>
      <w:r w:rsidRPr="00710CA9">
        <w:rPr>
          <w:rFonts w:ascii="Times New Roman" w:hAnsi="Times New Roman" w:cs="Times New Roman"/>
          <w:b/>
          <w:iCs/>
        </w:rPr>
        <w:t>Atitudinea și percepția consumatorilor din perspectiva implemenatării unei noi tehnologii în literatura de specialitate</w:t>
      </w:r>
    </w:p>
    <w:p w:rsidR="00710CA9" w:rsidRDefault="00710CA9" w:rsidP="008F1E49">
      <w:pPr>
        <w:pStyle w:val="Default"/>
        <w:rPr>
          <w:rFonts w:ascii="Times New Roman" w:hAnsi="Times New Roman" w:cs="Times New Roman"/>
          <w:iCs/>
        </w:rPr>
      </w:pPr>
    </w:p>
    <w:p w:rsidR="00B302F8" w:rsidRDefault="00A55A5A" w:rsidP="00710CA9">
      <w:pPr>
        <w:pStyle w:val="Default"/>
        <w:spacing w:line="360" w:lineRule="auto"/>
        <w:ind w:firstLine="720"/>
        <w:jc w:val="both"/>
        <w:rPr>
          <w:rFonts w:ascii="Times New Roman" w:hAnsi="Times New Roman" w:cs="Times New Roman"/>
          <w:iCs/>
        </w:rPr>
      </w:pPr>
      <w:r w:rsidRPr="00A55A5A">
        <w:rPr>
          <w:rFonts w:ascii="Times New Roman" w:hAnsi="Times New Roman" w:cs="Times New Roman"/>
          <w:iCs/>
        </w:rPr>
        <w:t xml:space="preserve">Atitudinea </w:t>
      </w:r>
      <w:r>
        <w:rPr>
          <w:rFonts w:ascii="Times New Roman" w:hAnsi="Times New Roman" w:cs="Times New Roman"/>
          <w:iCs/>
        </w:rPr>
        <w:t xml:space="preserve">și percepția </w:t>
      </w:r>
      <w:r w:rsidRPr="00A55A5A">
        <w:rPr>
          <w:rFonts w:ascii="Times New Roman" w:hAnsi="Times New Roman" w:cs="Times New Roman"/>
          <w:iCs/>
        </w:rPr>
        <w:t xml:space="preserve">consumatorilor față de problemele de mediu și reducerea emisiilor de gaze cu efect de seră sunt </w:t>
      </w:r>
      <w:r>
        <w:rPr>
          <w:rFonts w:ascii="Times New Roman" w:hAnsi="Times New Roman" w:cs="Times New Roman"/>
          <w:iCs/>
        </w:rPr>
        <w:t>doar de puțin timp</w:t>
      </w:r>
      <w:r w:rsidRPr="00A55A5A">
        <w:rPr>
          <w:rFonts w:ascii="Times New Roman" w:hAnsi="Times New Roman" w:cs="Times New Roman"/>
          <w:iCs/>
        </w:rPr>
        <w:t xml:space="preserve"> subiecte majore de </w:t>
      </w:r>
      <w:r>
        <w:rPr>
          <w:rFonts w:ascii="Times New Roman" w:hAnsi="Times New Roman" w:cs="Times New Roman"/>
          <w:iCs/>
        </w:rPr>
        <w:t>cercetare</w:t>
      </w:r>
      <w:r w:rsidRPr="00A55A5A">
        <w:rPr>
          <w:rFonts w:ascii="Times New Roman" w:hAnsi="Times New Roman" w:cs="Times New Roman"/>
          <w:iCs/>
        </w:rPr>
        <w:t xml:space="preserve"> în Europa (Dinca et al., 2022), în </w:t>
      </w:r>
      <w:r>
        <w:rPr>
          <w:rFonts w:ascii="Times New Roman" w:hAnsi="Times New Roman" w:cs="Times New Roman"/>
          <w:iCs/>
        </w:rPr>
        <w:t>special</w:t>
      </w:r>
      <w:r w:rsidRPr="00A55A5A">
        <w:rPr>
          <w:rFonts w:ascii="Times New Roman" w:hAnsi="Times New Roman" w:cs="Times New Roman"/>
          <w:iCs/>
        </w:rPr>
        <w:t xml:space="preserve"> după </w:t>
      </w:r>
      <w:r>
        <w:rPr>
          <w:rFonts w:ascii="Times New Roman" w:hAnsi="Times New Roman" w:cs="Times New Roman"/>
          <w:iCs/>
        </w:rPr>
        <w:t>promovarea</w:t>
      </w:r>
      <w:r w:rsidRPr="00A55A5A">
        <w:rPr>
          <w:rFonts w:ascii="Times New Roman" w:hAnsi="Times New Roman" w:cs="Times New Roman"/>
          <w:iCs/>
        </w:rPr>
        <w:t xml:space="preserve"> Pactului Verde European.</w:t>
      </w:r>
    </w:p>
    <w:p w:rsidR="002F5022" w:rsidRDefault="002F5022" w:rsidP="00710CA9">
      <w:pPr>
        <w:pStyle w:val="Default"/>
        <w:spacing w:line="360" w:lineRule="auto"/>
        <w:ind w:firstLine="720"/>
        <w:jc w:val="both"/>
        <w:rPr>
          <w:rFonts w:ascii="Times New Roman" w:hAnsi="Times New Roman" w:cs="Times New Roman"/>
          <w:iCs/>
        </w:rPr>
      </w:pPr>
      <w:r>
        <w:rPr>
          <w:rFonts w:ascii="Times New Roman" w:hAnsi="Times New Roman" w:cs="Times New Roman"/>
          <w:iCs/>
        </w:rPr>
        <w:t>In contextul prezentei cercetări p</w:t>
      </w:r>
      <w:r w:rsidRPr="002F5022">
        <w:rPr>
          <w:rFonts w:ascii="Times New Roman" w:hAnsi="Times New Roman" w:cs="Times New Roman"/>
          <w:iCs/>
        </w:rPr>
        <w:t xml:space="preserve">ublicul reprezintă o parte interesată cheie în procesul de acceptare a tehnologiilor </w:t>
      </w:r>
      <w:r>
        <w:rPr>
          <w:rFonts w:ascii="Times New Roman" w:hAnsi="Times New Roman" w:cs="Times New Roman"/>
          <w:iCs/>
        </w:rPr>
        <w:t xml:space="preserve">bazate pe energie din surse </w:t>
      </w:r>
      <w:r w:rsidRPr="002F5022">
        <w:rPr>
          <w:rFonts w:ascii="Times New Roman" w:hAnsi="Times New Roman" w:cs="Times New Roman"/>
          <w:iCs/>
        </w:rPr>
        <w:t xml:space="preserve">regenerabile și, prin urmare, </w:t>
      </w:r>
      <w:r>
        <w:rPr>
          <w:rFonts w:ascii="Times New Roman" w:hAnsi="Times New Roman" w:cs="Times New Roman"/>
          <w:iCs/>
        </w:rPr>
        <w:t>și a</w:t>
      </w:r>
      <w:r w:rsidRPr="002F5022">
        <w:rPr>
          <w:rFonts w:ascii="Times New Roman" w:hAnsi="Times New Roman" w:cs="Times New Roman"/>
          <w:iCs/>
        </w:rPr>
        <w:t xml:space="preserve"> </w:t>
      </w:r>
      <w:r>
        <w:rPr>
          <w:rFonts w:ascii="Times New Roman" w:hAnsi="Times New Roman" w:cs="Times New Roman"/>
          <w:iCs/>
        </w:rPr>
        <w:t xml:space="preserve">sistemelor integrate cu </w:t>
      </w:r>
      <w:r w:rsidRPr="002F5022">
        <w:rPr>
          <w:rFonts w:ascii="Times New Roman" w:hAnsi="Times New Roman" w:cs="Times New Roman"/>
          <w:iCs/>
        </w:rPr>
        <w:t>pompe de căldură. Atitudinile față de pompele de căldură pot fi influențat</w:t>
      </w:r>
      <w:r>
        <w:rPr>
          <w:rFonts w:ascii="Times New Roman" w:hAnsi="Times New Roman" w:cs="Times New Roman"/>
          <w:iCs/>
        </w:rPr>
        <w:t xml:space="preserve">e </w:t>
      </w:r>
      <w:r w:rsidRPr="002F5022">
        <w:rPr>
          <w:rFonts w:ascii="Times New Roman" w:hAnsi="Times New Roman" w:cs="Times New Roman"/>
          <w:iCs/>
        </w:rPr>
        <w:t xml:space="preserve">și de percepțiile cu privire la metodele alternative de </w:t>
      </w:r>
      <w:r>
        <w:rPr>
          <w:rFonts w:ascii="Times New Roman" w:hAnsi="Times New Roman" w:cs="Times New Roman"/>
          <w:iCs/>
        </w:rPr>
        <w:t>încălzire a locuințelor.</w:t>
      </w:r>
    </w:p>
    <w:p w:rsidR="00D90D4E" w:rsidRDefault="00D90D4E" w:rsidP="00710CA9">
      <w:pPr>
        <w:pStyle w:val="Default"/>
        <w:spacing w:line="360" w:lineRule="auto"/>
        <w:ind w:firstLine="720"/>
        <w:jc w:val="both"/>
        <w:rPr>
          <w:rFonts w:ascii="Times New Roman" w:hAnsi="Times New Roman" w:cs="Times New Roman"/>
          <w:iCs/>
        </w:rPr>
      </w:pPr>
      <w:r w:rsidRPr="00D90D4E">
        <w:rPr>
          <w:rFonts w:ascii="Times New Roman" w:hAnsi="Times New Roman" w:cs="Times New Roman"/>
          <w:iCs/>
        </w:rPr>
        <w:t xml:space="preserve">Studiul coordonat de Hawkins indică faptul că atitudinile consumatorilor față de </w:t>
      </w:r>
      <w:proofErr w:type="gramStart"/>
      <w:r w:rsidRPr="00D90D4E">
        <w:rPr>
          <w:rFonts w:ascii="Times New Roman" w:hAnsi="Times New Roman" w:cs="Times New Roman"/>
          <w:iCs/>
        </w:rPr>
        <w:t>un</w:t>
      </w:r>
      <w:proofErr w:type="gramEnd"/>
      <w:r w:rsidRPr="00D90D4E">
        <w:rPr>
          <w:rFonts w:ascii="Times New Roman" w:hAnsi="Times New Roman" w:cs="Times New Roman"/>
          <w:iCs/>
        </w:rPr>
        <w:t xml:space="preserve"> produs sau </w:t>
      </w:r>
      <w:r>
        <w:rPr>
          <w:rFonts w:ascii="Times New Roman" w:hAnsi="Times New Roman" w:cs="Times New Roman"/>
          <w:iCs/>
        </w:rPr>
        <w:t xml:space="preserve">o </w:t>
      </w:r>
      <w:r w:rsidRPr="00D90D4E">
        <w:rPr>
          <w:rFonts w:ascii="Times New Roman" w:hAnsi="Times New Roman" w:cs="Times New Roman"/>
          <w:iCs/>
        </w:rPr>
        <w:t xml:space="preserve">tehnologie au </w:t>
      </w:r>
      <w:r>
        <w:rPr>
          <w:rFonts w:ascii="Times New Roman" w:hAnsi="Times New Roman" w:cs="Times New Roman"/>
          <w:iCs/>
        </w:rPr>
        <w:t>la bază trei dtipuri de intenții:</w:t>
      </w:r>
      <w:r w:rsidRPr="00D90D4E">
        <w:rPr>
          <w:rFonts w:ascii="Times New Roman" w:hAnsi="Times New Roman" w:cs="Times New Roman"/>
          <w:iCs/>
        </w:rPr>
        <w:t xml:space="preserve"> intenții cogniti</w:t>
      </w:r>
      <w:r>
        <w:rPr>
          <w:rFonts w:ascii="Times New Roman" w:hAnsi="Times New Roman" w:cs="Times New Roman"/>
          <w:iCs/>
        </w:rPr>
        <w:t>ve, afective și comportamentale (</w:t>
      </w:r>
      <w:r w:rsidRPr="00D90D4E">
        <w:rPr>
          <w:rFonts w:ascii="Times New Roman" w:hAnsi="Times New Roman" w:cs="Times New Roman"/>
          <w:iCs/>
        </w:rPr>
        <w:t>Hawkins</w:t>
      </w:r>
      <w:r w:rsidR="00710CA9">
        <w:rPr>
          <w:rFonts w:ascii="Times New Roman" w:hAnsi="Times New Roman" w:cs="Times New Roman"/>
          <w:iCs/>
        </w:rPr>
        <w:t xml:space="preserve"> ș.a.</w:t>
      </w:r>
      <w:r>
        <w:rPr>
          <w:rFonts w:ascii="Times New Roman" w:hAnsi="Times New Roman" w:cs="Times New Roman"/>
          <w:iCs/>
        </w:rPr>
        <w:t xml:space="preserve">, 2007). Intențiile cognitive includ credința și cunoștințele consumatorului. </w:t>
      </w:r>
      <w:r w:rsidR="00031366" w:rsidRPr="00031366">
        <w:rPr>
          <w:rFonts w:ascii="Times New Roman" w:hAnsi="Times New Roman" w:cs="Times New Roman"/>
          <w:iCs/>
        </w:rPr>
        <w:t xml:space="preserve">Punctul de vedere al unui proprietar </w:t>
      </w:r>
      <w:r w:rsidR="00031366">
        <w:rPr>
          <w:rFonts w:ascii="Times New Roman" w:hAnsi="Times New Roman" w:cs="Times New Roman"/>
          <w:iCs/>
        </w:rPr>
        <w:t>asupra</w:t>
      </w:r>
      <w:r w:rsidR="00031366" w:rsidRPr="00031366">
        <w:rPr>
          <w:rFonts w:ascii="Times New Roman" w:hAnsi="Times New Roman" w:cs="Times New Roman"/>
          <w:iCs/>
        </w:rPr>
        <w:t xml:space="preserve"> sistemel</w:t>
      </w:r>
      <w:r w:rsidR="00031366">
        <w:rPr>
          <w:rFonts w:ascii="Times New Roman" w:hAnsi="Times New Roman" w:cs="Times New Roman"/>
          <w:iCs/>
        </w:rPr>
        <w:t>or</w:t>
      </w:r>
      <w:r w:rsidR="00031366" w:rsidRPr="00031366">
        <w:rPr>
          <w:rFonts w:ascii="Times New Roman" w:hAnsi="Times New Roman" w:cs="Times New Roman"/>
          <w:iCs/>
        </w:rPr>
        <w:t xml:space="preserve"> de încălzire </w:t>
      </w:r>
      <w:r w:rsidR="00031366">
        <w:rPr>
          <w:rFonts w:ascii="Times New Roman" w:hAnsi="Times New Roman" w:cs="Times New Roman"/>
          <w:iCs/>
        </w:rPr>
        <w:t xml:space="preserve">a locuinței </w:t>
      </w:r>
      <w:proofErr w:type="gramStart"/>
      <w:r w:rsidR="00031366" w:rsidRPr="00031366">
        <w:rPr>
          <w:rFonts w:ascii="Times New Roman" w:hAnsi="Times New Roman" w:cs="Times New Roman"/>
          <w:iCs/>
        </w:rPr>
        <w:t>este</w:t>
      </w:r>
      <w:proofErr w:type="gramEnd"/>
      <w:r w:rsidR="00031366" w:rsidRPr="00031366">
        <w:rPr>
          <w:rFonts w:ascii="Times New Roman" w:hAnsi="Times New Roman" w:cs="Times New Roman"/>
          <w:iCs/>
        </w:rPr>
        <w:t xml:space="preserve"> construit din </w:t>
      </w:r>
      <w:r w:rsidR="00031366">
        <w:rPr>
          <w:rFonts w:ascii="Times New Roman" w:hAnsi="Times New Roman" w:cs="Times New Roman"/>
          <w:iCs/>
        </w:rPr>
        <w:t xml:space="preserve">perspctiva </w:t>
      </w:r>
      <w:r w:rsidR="00031366" w:rsidRPr="00031366">
        <w:rPr>
          <w:rFonts w:ascii="Times New Roman" w:hAnsi="Times New Roman" w:cs="Times New Roman"/>
          <w:iCs/>
        </w:rPr>
        <w:t>percepți</w:t>
      </w:r>
      <w:r w:rsidR="00031366">
        <w:rPr>
          <w:rFonts w:ascii="Times New Roman" w:hAnsi="Times New Roman" w:cs="Times New Roman"/>
          <w:iCs/>
        </w:rPr>
        <w:t>ei</w:t>
      </w:r>
      <w:r w:rsidR="00031366" w:rsidRPr="00031366">
        <w:rPr>
          <w:rFonts w:ascii="Times New Roman" w:hAnsi="Times New Roman" w:cs="Times New Roman"/>
          <w:iCs/>
        </w:rPr>
        <w:t xml:space="preserve"> unor caracteristici </w:t>
      </w:r>
      <w:r w:rsidR="00031366">
        <w:rPr>
          <w:rFonts w:ascii="Times New Roman" w:hAnsi="Times New Roman" w:cs="Times New Roman"/>
          <w:iCs/>
        </w:rPr>
        <w:t xml:space="preserve">specific acestui process, </w:t>
      </w:r>
      <w:r w:rsidR="00031366" w:rsidRPr="00031366">
        <w:rPr>
          <w:rFonts w:ascii="Times New Roman" w:hAnsi="Times New Roman" w:cs="Times New Roman"/>
          <w:iCs/>
        </w:rPr>
        <w:t>precum costul investiției, costul anual al energiei și fiabilitatea funcțională</w:t>
      </w:r>
      <w:r w:rsidR="00031366">
        <w:rPr>
          <w:rFonts w:ascii="Times New Roman" w:hAnsi="Times New Roman" w:cs="Times New Roman"/>
          <w:iCs/>
        </w:rPr>
        <w:t xml:space="preserve"> a sistemului de încălzire</w:t>
      </w:r>
      <w:r w:rsidR="00031366" w:rsidRPr="00031366">
        <w:rPr>
          <w:rFonts w:ascii="Times New Roman" w:hAnsi="Times New Roman" w:cs="Times New Roman"/>
          <w:iCs/>
        </w:rPr>
        <w:t>.</w:t>
      </w:r>
      <w:r w:rsidR="00031366">
        <w:rPr>
          <w:rFonts w:ascii="Times New Roman" w:hAnsi="Times New Roman" w:cs="Times New Roman"/>
          <w:iCs/>
        </w:rPr>
        <w:t xml:space="preserve"> </w:t>
      </w:r>
      <w:r w:rsidR="00031366" w:rsidRPr="00031366">
        <w:rPr>
          <w:rFonts w:ascii="Times New Roman" w:hAnsi="Times New Roman" w:cs="Times New Roman"/>
          <w:iCs/>
        </w:rPr>
        <w:t xml:space="preserve">Sentimentele sau reacțiile emoționale ilustrează </w:t>
      </w:r>
      <w:r w:rsidR="00031366">
        <w:rPr>
          <w:rFonts w:ascii="Times New Roman" w:hAnsi="Times New Roman" w:cs="Times New Roman"/>
          <w:iCs/>
        </w:rPr>
        <w:t>intențiile</w:t>
      </w:r>
      <w:r w:rsidR="00031366" w:rsidRPr="00031366">
        <w:rPr>
          <w:rFonts w:ascii="Times New Roman" w:hAnsi="Times New Roman" w:cs="Times New Roman"/>
          <w:iCs/>
        </w:rPr>
        <w:t xml:space="preserve"> afective (de exemplu, </w:t>
      </w:r>
      <w:proofErr w:type="gramStart"/>
      <w:r w:rsidR="00031366" w:rsidRPr="00031366">
        <w:rPr>
          <w:rFonts w:ascii="Times New Roman" w:hAnsi="Times New Roman" w:cs="Times New Roman"/>
          <w:iCs/>
        </w:rPr>
        <w:t>un</w:t>
      </w:r>
      <w:proofErr w:type="gramEnd"/>
      <w:r w:rsidR="00031366" w:rsidRPr="00031366">
        <w:rPr>
          <w:rFonts w:ascii="Times New Roman" w:hAnsi="Times New Roman" w:cs="Times New Roman"/>
          <w:iCs/>
        </w:rPr>
        <w:t xml:space="preserve"> individ poate spune că îi „place” un anumit sistem de încălzire).</w:t>
      </w:r>
      <w:r w:rsidR="00031366">
        <w:rPr>
          <w:rFonts w:ascii="Times New Roman" w:hAnsi="Times New Roman" w:cs="Times New Roman"/>
          <w:iCs/>
        </w:rPr>
        <w:t xml:space="preserve"> </w:t>
      </w:r>
      <w:r w:rsidR="00031366" w:rsidRPr="00031366">
        <w:rPr>
          <w:rFonts w:ascii="Times New Roman" w:hAnsi="Times New Roman" w:cs="Times New Roman"/>
          <w:iCs/>
        </w:rPr>
        <w:t xml:space="preserve">O reacție de acest fel poate fi doar </w:t>
      </w:r>
      <w:proofErr w:type="gramStart"/>
      <w:r w:rsidR="00031366" w:rsidRPr="00031366">
        <w:rPr>
          <w:rFonts w:ascii="Times New Roman" w:hAnsi="Times New Roman" w:cs="Times New Roman"/>
          <w:iCs/>
        </w:rPr>
        <w:t>un</w:t>
      </w:r>
      <w:proofErr w:type="gramEnd"/>
      <w:r w:rsidR="00031366" w:rsidRPr="00031366">
        <w:rPr>
          <w:rFonts w:ascii="Times New Roman" w:hAnsi="Times New Roman" w:cs="Times New Roman"/>
          <w:iCs/>
        </w:rPr>
        <w:t xml:space="preserve"> sentiment general vag, dezvoltat fără nicio informație cognitivă specială, sau poate fi bazată pe o evaluare a convingerilor despre diferite caracteristici ale </w:t>
      </w:r>
      <w:r w:rsidR="00710CA9">
        <w:rPr>
          <w:rFonts w:ascii="Times New Roman" w:hAnsi="Times New Roman" w:cs="Times New Roman"/>
          <w:iCs/>
        </w:rPr>
        <w:t>tehnologiei</w:t>
      </w:r>
      <w:r w:rsidR="00031366" w:rsidRPr="00031366">
        <w:rPr>
          <w:rFonts w:ascii="Times New Roman" w:hAnsi="Times New Roman" w:cs="Times New Roman"/>
          <w:iCs/>
        </w:rPr>
        <w:t xml:space="preserve"> respective.</w:t>
      </w:r>
      <w:r w:rsidR="00710CA9">
        <w:rPr>
          <w:rFonts w:ascii="Times New Roman" w:hAnsi="Times New Roman" w:cs="Times New Roman"/>
          <w:iCs/>
        </w:rPr>
        <w:t xml:space="preserve"> </w:t>
      </w:r>
      <w:r w:rsidR="00710CA9" w:rsidRPr="00710CA9">
        <w:rPr>
          <w:rFonts w:ascii="Times New Roman" w:hAnsi="Times New Roman" w:cs="Times New Roman"/>
          <w:iCs/>
        </w:rPr>
        <w:t xml:space="preserve">Intenția comportamentală (a treia componentă) </w:t>
      </w:r>
      <w:proofErr w:type="gramStart"/>
      <w:r w:rsidR="00710CA9" w:rsidRPr="00710CA9">
        <w:rPr>
          <w:rFonts w:ascii="Times New Roman" w:hAnsi="Times New Roman" w:cs="Times New Roman"/>
          <w:iCs/>
        </w:rPr>
        <w:t>este</w:t>
      </w:r>
      <w:proofErr w:type="gramEnd"/>
      <w:r w:rsidR="00710CA9" w:rsidRPr="00710CA9">
        <w:rPr>
          <w:rFonts w:ascii="Times New Roman" w:hAnsi="Times New Roman" w:cs="Times New Roman"/>
          <w:iCs/>
        </w:rPr>
        <w:t xml:space="preserve"> ceea ce clienții </w:t>
      </w:r>
      <w:r w:rsidR="00710CA9">
        <w:rPr>
          <w:rFonts w:ascii="Times New Roman" w:hAnsi="Times New Roman" w:cs="Times New Roman"/>
          <w:iCs/>
        </w:rPr>
        <w:t>consider</w:t>
      </w:r>
      <w:r w:rsidR="00D94A3E">
        <w:rPr>
          <w:rFonts w:ascii="Times New Roman" w:hAnsi="Times New Roman" w:cs="Times New Roman"/>
          <w:iCs/>
        </w:rPr>
        <w:t>ă</w:t>
      </w:r>
      <w:r w:rsidR="00710CA9">
        <w:rPr>
          <w:rFonts w:ascii="Times New Roman" w:hAnsi="Times New Roman" w:cs="Times New Roman"/>
          <w:iCs/>
        </w:rPr>
        <w:t xml:space="preserve"> </w:t>
      </w:r>
      <w:r w:rsidR="00710CA9" w:rsidRPr="00710CA9">
        <w:rPr>
          <w:rFonts w:ascii="Times New Roman" w:hAnsi="Times New Roman" w:cs="Times New Roman"/>
          <w:iCs/>
        </w:rPr>
        <w:t xml:space="preserve">să facă în legătură cu </w:t>
      </w:r>
      <w:r w:rsidR="00710CA9">
        <w:rPr>
          <w:rFonts w:ascii="Times New Roman" w:hAnsi="Times New Roman" w:cs="Times New Roman"/>
          <w:iCs/>
        </w:rPr>
        <w:t>tehnologia propusă a fi implementată.</w:t>
      </w:r>
    </w:p>
    <w:p w:rsidR="00696AE6" w:rsidRPr="001334D4" w:rsidRDefault="00015457" w:rsidP="00015457">
      <w:pPr>
        <w:pStyle w:val="Default"/>
        <w:spacing w:line="360" w:lineRule="auto"/>
        <w:ind w:firstLine="720"/>
        <w:jc w:val="both"/>
        <w:rPr>
          <w:rFonts w:ascii="Times New Roman" w:hAnsi="Times New Roman" w:cs="Times New Roman"/>
          <w:iCs/>
        </w:rPr>
      </w:pPr>
      <w:r w:rsidRPr="001334D4">
        <w:rPr>
          <w:rFonts w:ascii="Times New Roman" w:hAnsi="Times New Roman" w:cs="Times New Roman"/>
          <w:iCs/>
        </w:rPr>
        <w:t>Studiile existente scot în evidență principalii factori care influențează alegerea unui anumit sistem de încălzire. Aceștia sunt următorii: aspectele economice, fiabilitatea funcțională a sistemului și calitatea aerului din interiorul locuinței (</w:t>
      </w:r>
      <w:r w:rsidRPr="001334D4">
        <w:rPr>
          <w:rFonts w:ascii="Times New Roman" w:hAnsi="Times New Roman" w:cs="Times New Roman"/>
        </w:rPr>
        <w:t>Mahapatra &amp; Gustavsson, 2008).</w:t>
      </w:r>
      <w:r w:rsidR="00696AE6" w:rsidRPr="001334D4">
        <w:rPr>
          <w:rFonts w:ascii="Times New Roman" w:hAnsi="Times New Roman" w:cs="Times New Roman"/>
        </w:rPr>
        <w:t xml:space="preserve"> Lați factori specifici </w:t>
      </w:r>
      <w:r w:rsidR="00696AE6" w:rsidRPr="001334D4">
        <w:rPr>
          <w:rFonts w:ascii="Times New Roman" w:hAnsi="Times New Roman" w:cs="Times New Roman"/>
          <w:iCs/>
        </w:rPr>
        <w:t xml:space="preserve">care influențează alegerea unui anumit sistem de încălzire sunt costul anual al încălzirii, </w:t>
      </w:r>
      <w:r w:rsidR="00696AE6" w:rsidRPr="001334D4">
        <w:rPr>
          <w:rFonts w:ascii="Times New Roman" w:hAnsi="Times New Roman" w:cs="Times New Roman"/>
          <w:iCs/>
        </w:rPr>
        <w:lastRenderedPageBreak/>
        <w:t>securitatea aprovizionării cu combustibil, impactul sistemului de încălzire asupra mediului, valoarea de piață a locuinței și emisiile reduse de gaze cu efect de seră.</w:t>
      </w:r>
    </w:p>
    <w:p w:rsidR="005B7D20" w:rsidRPr="001334D4" w:rsidRDefault="005B7D20" w:rsidP="00FD1C92">
      <w:pPr>
        <w:pStyle w:val="Default"/>
        <w:spacing w:line="360" w:lineRule="auto"/>
        <w:ind w:firstLine="720"/>
        <w:jc w:val="both"/>
        <w:rPr>
          <w:rFonts w:ascii="Times New Roman" w:hAnsi="Times New Roman" w:cs="Times New Roman"/>
          <w:iCs/>
        </w:rPr>
      </w:pPr>
      <w:r w:rsidRPr="001334D4">
        <w:rPr>
          <w:rFonts w:ascii="Times New Roman" w:hAnsi="Times New Roman" w:cs="Times New Roman"/>
          <w:iCs/>
        </w:rPr>
        <w:t xml:space="preserve">Încrederea </w:t>
      </w:r>
      <w:proofErr w:type="gramStart"/>
      <w:r w:rsidRPr="001334D4">
        <w:rPr>
          <w:rFonts w:ascii="Times New Roman" w:hAnsi="Times New Roman" w:cs="Times New Roman"/>
          <w:iCs/>
        </w:rPr>
        <w:t>este</w:t>
      </w:r>
      <w:proofErr w:type="gramEnd"/>
      <w:r w:rsidRPr="001334D4">
        <w:rPr>
          <w:rFonts w:ascii="Times New Roman" w:hAnsi="Times New Roman" w:cs="Times New Roman"/>
          <w:iCs/>
        </w:rPr>
        <w:t xml:space="preserve">, de asemenea, un factor cheie atunci când se analizează atitudinea și percepția consumatorilor față de energie, datorită faptului că publicul poate avea entuziasm și dorința de a se baza pe anumite persoane responsabile pentru furnizarea de informații corecte </w:t>
      </w:r>
      <w:r w:rsidRPr="001334D4">
        <w:rPr>
          <w:rFonts w:ascii="Times New Roman" w:hAnsi="Times New Roman" w:cs="Times New Roman"/>
        </w:rPr>
        <w:t>Tantau ș.a, 2021)</w:t>
      </w:r>
      <w:r w:rsidRPr="001334D4">
        <w:rPr>
          <w:rFonts w:ascii="Times New Roman" w:hAnsi="Times New Roman" w:cs="Times New Roman"/>
          <w:iCs/>
        </w:rPr>
        <w:t>.</w:t>
      </w:r>
      <w:r w:rsidR="00257D7F" w:rsidRPr="001334D4">
        <w:rPr>
          <w:rFonts w:ascii="Times New Roman" w:hAnsi="Times New Roman" w:cs="Times New Roman"/>
          <w:iCs/>
        </w:rPr>
        <w:t xml:space="preserve"> </w:t>
      </w:r>
      <w:r w:rsidR="00413751" w:rsidRPr="001334D4">
        <w:rPr>
          <w:rFonts w:ascii="Times New Roman" w:hAnsi="Times New Roman" w:cs="Times New Roman"/>
          <w:iCs/>
        </w:rPr>
        <w:t xml:space="preserve">Increderea dintre consumatori și actorii care promovează noi proiecte reprezintă o condiție prealabilă care poate eficientiza procesul de implementare a proiectelor mai ales dacă </w:t>
      </w:r>
      <w:proofErr w:type="gramStart"/>
      <w:r w:rsidR="00413751" w:rsidRPr="001334D4">
        <w:rPr>
          <w:rFonts w:ascii="Times New Roman" w:hAnsi="Times New Roman" w:cs="Times New Roman"/>
          <w:iCs/>
        </w:rPr>
        <w:t>consumatorii  sunt</w:t>
      </w:r>
      <w:proofErr w:type="gramEnd"/>
      <w:r w:rsidR="00413751" w:rsidRPr="001334D4">
        <w:rPr>
          <w:rFonts w:ascii="Times New Roman" w:hAnsi="Times New Roman" w:cs="Times New Roman"/>
          <w:iCs/>
        </w:rPr>
        <w:t xml:space="preserve"> motivați prin implicarea direct în acest proces. Cunoașterea și încrederea sunt corelate, deoarece atunci când cunoștințele sau nivelul de informare este foarte scăzut, consumatorului îi mai rămâne doar opțiunea de a avea încredere (de ex.</w:t>
      </w:r>
      <w:proofErr w:type="gramStart"/>
      <w:r w:rsidR="00413751" w:rsidRPr="001334D4">
        <w:rPr>
          <w:rFonts w:ascii="Times New Roman" w:hAnsi="Times New Roman" w:cs="Times New Roman"/>
          <w:iCs/>
        </w:rPr>
        <w:t>,  în</w:t>
      </w:r>
      <w:proofErr w:type="gramEnd"/>
      <w:r w:rsidR="00413751" w:rsidRPr="001334D4">
        <w:rPr>
          <w:rFonts w:ascii="Times New Roman" w:hAnsi="Times New Roman" w:cs="Times New Roman"/>
          <w:iCs/>
        </w:rPr>
        <w:t xml:space="preserve"> oameni de știință, g</w:t>
      </w:r>
      <w:r w:rsidR="00FD1C92" w:rsidRPr="001334D4">
        <w:rPr>
          <w:rFonts w:ascii="Times New Roman" w:hAnsi="Times New Roman" w:cs="Times New Roman"/>
          <w:iCs/>
        </w:rPr>
        <w:t>u</w:t>
      </w:r>
      <w:r w:rsidR="00413751" w:rsidRPr="001334D4">
        <w:rPr>
          <w:rFonts w:ascii="Times New Roman" w:hAnsi="Times New Roman" w:cs="Times New Roman"/>
          <w:iCs/>
        </w:rPr>
        <w:t>vern sau mass-media).</w:t>
      </w:r>
    </w:p>
    <w:p w:rsidR="00162B09" w:rsidRPr="001334D4" w:rsidRDefault="002F5022" w:rsidP="00FD1C92">
      <w:pPr>
        <w:pStyle w:val="Default"/>
        <w:spacing w:line="360" w:lineRule="auto"/>
        <w:jc w:val="both"/>
        <w:rPr>
          <w:rFonts w:ascii="Times New Roman" w:hAnsi="Times New Roman" w:cs="Times New Roman"/>
        </w:rPr>
      </w:pPr>
      <w:r w:rsidRPr="001334D4">
        <w:rPr>
          <w:rFonts w:ascii="Times New Roman" w:hAnsi="Times New Roman" w:cs="Times New Roman"/>
          <w:iCs/>
        </w:rPr>
        <w:tab/>
      </w:r>
      <w:r w:rsidR="00D90D4E" w:rsidRPr="001334D4">
        <w:rPr>
          <w:rFonts w:ascii="Times New Roman" w:hAnsi="Times New Roman" w:cs="Times New Roman"/>
        </w:rPr>
        <w:t xml:space="preserve"> </w:t>
      </w:r>
      <w:r w:rsidR="00FD1C92" w:rsidRPr="001334D4">
        <w:rPr>
          <w:rFonts w:ascii="Times New Roman" w:hAnsi="Times New Roman" w:cs="Times New Roman"/>
        </w:rPr>
        <w:t xml:space="preserve">Studiul lui Wustenhagen (2007) scoate în evidență trei tipuri diferite de acceptanță: socio-politică, comunitară și de piață. Acceptanță socio-politică </w:t>
      </w:r>
      <w:proofErr w:type="gramStart"/>
      <w:r w:rsidR="00FD1C92" w:rsidRPr="001334D4">
        <w:rPr>
          <w:rFonts w:ascii="Times New Roman" w:hAnsi="Times New Roman" w:cs="Times New Roman"/>
        </w:rPr>
        <w:t>este</w:t>
      </w:r>
      <w:proofErr w:type="gramEnd"/>
      <w:r w:rsidR="00FD1C92" w:rsidRPr="001334D4">
        <w:rPr>
          <w:rFonts w:ascii="Times New Roman" w:hAnsi="Times New Roman" w:cs="Times New Roman"/>
        </w:rPr>
        <w:t xml:space="preserve"> relevantă pentru procesul de elaborare a politicilor publice, de tipul celei energetice. Acceptața socială estimează dacă consumatorii au o atitudine pozitivă (acceptare a tehnologiei) sau negativă (respingere a tehnologiei) față de o anumită tehnologie, în cazul nostru sistemele integrate cu pompe de căldură.</w:t>
      </w:r>
      <w:r w:rsidR="00C1590C" w:rsidRPr="001334D4">
        <w:rPr>
          <w:rFonts w:ascii="Times New Roman" w:hAnsi="Times New Roman" w:cs="Times New Roman"/>
        </w:rPr>
        <w:t xml:space="preserve"> Acceptanța comunitară </w:t>
      </w:r>
      <w:proofErr w:type="gramStart"/>
      <w:r w:rsidR="00C1590C" w:rsidRPr="001334D4">
        <w:rPr>
          <w:rFonts w:ascii="Times New Roman" w:hAnsi="Times New Roman" w:cs="Times New Roman"/>
        </w:rPr>
        <w:t>este</w:t>
      </w:r>
      <w:proofErr w:type="gramEnd"/>
      <w:r w:rsidR="00C1590C" w:rsidRPr="001334D4">
        <w:rPr>
          <w:rFonts w:ascii="Times New Roman" w:hAnsi="Times New Roman" w:cs="Times New Roman"/>
        </w:rPr>
        <w:t xml:space="preserve"> tipul cel mai specific datorită relevanței sale pentru stakeholderii locali. </w:t>
      </w:r>
      <w:r w:rsidR="00AB292E" w:rsidRPr="001334D4">
        <w:rPr>
          <w:rFonts w:ascii="Times New Roman" w:hAnsi="Times New Roman" w:cs="Times New Roman"/>
        </w:rPr>
        <w:t>Acceptanța de la nivelul pieței estimează relațiile dintre investitori și consumatori și indică dacă aceștia acționează ca promotori sau chiar ca bariere pentru noua tehnologie (de exemplu, pentru sistemele integrate cu pompe de căldură).</w:t>
      </w:r>
      <w:r w:rsidR="00162B09" w:rsidRPr="001334D4">
        <w:rPr>
          <w:rFonts w:ascii="Times New Roman" w:hAnsi="Times New Roman" w:cs="Times New Roman"/>
        </w:rPr>
        <w:t xml:space="preserve"> Trebuie reamrcat faptul că analiza unui singur tip de acceptanță nu prezintă suficentă relevanță. In practică, ar trebui analizate mai multe tipuri de acceptanță pentru a crește eficiența unui program de implementare a unui nou sistem tehnologic (Sovacool &amp; Gross, 2015).  Astfel, sistemele cu pompe de căldură trebuie acceptate nu doar pasiv (adică părțile interesate nu se opun), ci și activ (părțile interesate sunt cele care investesc și adoptă noua tehnologie).</w:t>
      </w:r>
    </w:p>
    <w:p w:rsidR="00FD1C92" w:rsidRPr="001334D4" w:rsidRDefault="001961F3" w:rsidP="001961F3">
      <w:pPr>
        <w:pStyle w:val="Default"/>
        <w:spacing w:line="360" w:lineRule="auto"/>
        <w:ind w:firstLine="720"/>
        <w:jc w:val="both"/>
        <w:rPr>
          <w:rFonts w:ascii="Times New Roman" w:hAnsi="Times New Roman" w:cs="Times New Roman"/>
        </w:rPr>
      </w:pPr>
      <w:r w:rsidRPr="001334D4">
        <w:rPr>
          <w:rFonts w:ascii="Times New Roman" w:hAnsi="Times New Roman" w:cs="Times New Roman"/>
        </w:rPr>
        <w:t xml:space="preserve">Chiar dacă nu prea există cercetări referitoare la percepția publică asupra pompelor de căldură și contribuția acestora la reducerea emisiilor de gaze cu efect de seră, întâlnim totuși studii care analizează acceptarea socială și de piață a panourilor fotovoltaice și a pompelor de căldură în Europa. De exemplu, </w:t>
      </w:r>
      <w:proofErr w:type="gramStart"/>
      <w:r w:rsidRPr="001334D4">
        <w:rPr>
          <w:rFonts w:ascii="Times New Roman" w:hAnsi="Times New Roman" w:cs="Times New Roman"/>
        </w:rPr>
        <w:t>un</w:t>
      </w:r>
      <w:proofErr w:type="gramEnd"/>
      <w:r w:rsidRPr="001334D4">
        <w:rPr>
          <w:rFonts w:ascii="Times New Roman" w:hAnsi="Times New Roman" w:cs="Times New Roman"/>
        </w:rPr>
        <w:t xml:space="preserve"> studio specific scoate în evidență barierele care stau în calea adoptării surselor regenerabile de energie. Acestea sunt următoarele: informațiile limitate despre tehnologie (influențând și nivelul de încredere al consumatorilor), preocupările financiare și factorii socio-</w:t>
      </w:r>
      <w:r w:rsidRPr="001334D4">
        <w:rPr>
          <w:rFonts w:ascii="Times New Roman" w:hAnsi="Times New Roman" w:cs="Times New Roman"/>
        </w:rPr>
        <w:lastRenderedPageBreak/>
        <w:t>demografici. De asemenea, investiția necesară implementării unui asemenea sistem reprezintă o barieră importantă (Peñaloza s.a., 2022</w:t>
      </w:r>
      <w:r w:rsidR="00AA6D7C" w:rsidRPr="001334D4">
        <w:rPr>
          <w:rFonts w:ascii="Times New Roman" w:hAnsi="Times New Roman" w:cs="Times New Roman"/>
        </w:rPr>
        <w:t>)</w:t>
      </w:r>
    </w:p>
    <w:p w:rsidR="001961F3" w:rsidRPr="001334D4" w:rsidRDefault="00AA6D7C" w:rsidP="00AA6D7C">
      <w:pPr>
        <w:pStyle w:val="Default"/>
        <w:spacing w:line="360" w:lineRule="auto"/>
        <w:ind w:firstLine="720"/>
        <w:jc w:val="both"/>
        <w:rPr>
          <w:rFonts w:ascii="Times New Roman" w:hAnsi="Times New Roman" w:cs="Times New Roman"/>
        </w:rPr>
      </w:pPr>
      <w:r w:rsidRPr="001334D4">
        <w:rPr>
          <w:rFonts w:ascii="Times New Roman" w:hAnsi="Times New Roman" w:cs="Times New Roman"/>
        </w:rPr>
        <w:t xml:space="preserve">In funcție de dimensiunile atitudine-comportament-context, putem analiza diferite tipuri de politici, care pot influența implementarea sistemelor integrate bazate pe pompe de căldură (adică, politici de tip stimulent și politici obligatorii) și, în mod comparativ, putem explora factorii determinanți pentru aceste sisteme. Aceste politici trebuie să ia în considerare faptul că, pentru investițiile în încălzire, consumatorii își fac alegerile pe baza constrângerilor economice (de exemplu, costul investiției, venitul, factura de energie, costul operațional) și constrângerile non-economice (de exemplu, caracteristicile clădirii, mărimea acesteia, vechimea; forma legală de proprietate., performanța sistemului de încălzire, calitatea aerului, atitudinea față de mediu) (Kern ș.a,  2019, </w:t>
      </w:r>
      <w:r w:rsidR="007B329E" w:rsidRPr="001334D4">
        <w:rPr>
          <w:rFonts w:ascii="Times New Roman" w:hAnsi="Times New Roman" w:cs="Times New Roman"/>
        </w:rPr>
        <w:t xml:space="preserve">Karytsas &amp; Theodoropoulou, 2014, </w:t>
      </w:r>
      <w:r w:rsidRPr="001334D4">
        <w:rPr>
          <w:rFonts w:ascii="Times New Roman" w:hAnsi="Times New Roman" w:cs="Times New Roman"/>
        </w:rPr>
        <w:t>Lillemo ș.a., 2013).</w:t>
      </w:r>
    </w:p>
    <w:p w:rsidR="006C1F80" w:rsidRPr="001334D4" w:rsidRDefault="006C1F80" w:rsidP="00AA6D7C">
      <w:pPr>
        <w:pStyle w:val="Default"/>
        <w:spacing w:line="360" w:lineRule="auto"/>
        <w:ind w:firstLine="720"/>
        <w:jc w:val="both"/>
        <w:rPr>
          <w:rFonts w:ascii="Times New Roman" w:hAnsi="Times New Roman" w:cs="Times New Roman"/>
        </w:rPr>
      </w:pPr>
      <w:r w:rsidRPr="001334D4">
        <w:rPr>
          <w:rFonts w:ascii="Times New Roman" w:hAnsi="Times New Roman" w:cs="Times New Roman"/>
        </w:rPr>
        <w:t xml:space="preserve">În România nu există încă studii privind potențialul existent pentru implementarea </w:t>
      </w:r>
      <w:proofErr w:type="gramStart"/>
      <w:r w:rsidRPr="001334D4">
        <w:rPr>
          <w:rFonts w:ascii="Times New Roman" w:hAnsi="Times New Roman" w:cs="Times New Roman"/>
        </w:rPr>
        <w:t>tehnologiilor  integrate</w:t>
      </w:r>
      <w:proofErr w:type="gramEnd"/>
      <w:r w:rsidRPr="001334D4">
        <w:rPr>
          <w:rFonts w:ascii="Times New Roman" w:hAnsi="Times New Roman" w:cs="Times New Roman"/>
        </w:rPr>
        <w:t xml:space="preserve"> bazate pe pompe de căldură și privind atitudinea consumatorilor față de aceste tehnologii. </w:t>
      </w:r>
    </w:p>
    <w:p w:rsidR="006C1F80" w:rsidRPr="001334D4" w:rsidRDefault="006C1F80" w:rsidP="00AA6D7C">
      <w:pPr>
        <w:pStyle w:val="Default"/>
        <w:spacing w:line="360" w:lineRule="auto"/>
        <w:ind w:firstLine="720"/>
        <w:jc w:val="both"/>
        <w:rPr>
          <w:rFonts w:ascii="Times New Roman" w:hAnsi="Times New Roman" w:cs="Times New Roman"/>
        </w:rPr>
      </w:pPr>
    </w:p>
    <w:p w:rsidR="006C1F80" w:rsidRPr="001334D4" w:rsidRDefault="006C1F80" w:rsidP="00AA6D7C">
      <w:pPr>
        <w:pStyle w:val="Default"/>
        <w:spacing w:line="360" w:lineRule="auto"/>
        <w:ind w:firstLine="720"/>
        <w:jc w:val="both"/>
        <w:rPr>
          <w:rFonts w:ascii="Times New Roman" w:hAnsi="Times New Roman" w:cs="Times New Roman"/>
        </w:rPr>
      </w:pPr>
    </w:p>
    <w:p w:rsidR="001A2FE8" w:rsidRPr="001334D4" w:rsidRDefault="006C1F80" w:rsidP="006C1F80">
      <w:pPr>
        <w:pStyle w:val="Default"/>
        <w:numPr>
          <w:ilvl w:val="0"/>
          <w:numId w:val="1"/>
        </w:numPr>
        <w:spacing w:line="360" w:lineRule="auto"/>
        <w:rPr>
          <w:rFonts w:ascii="Times New Roman" w:hAnsi="Times New Roman" w:cs="Times New Roman"/>
          <w:b/>
        </w:rPr>
      </w:pPr>
      <w:r w:rsidRPr="001334D4">
        <w:rPr>
          <w:rFonts w:ascii="Times New Roman" w:hAnsi="Times New Roman" w:cs="Times New Roman"/>
          <w:b/>
        </w:rPr>
        <w:t>Metodologia cercetării</w:t>
      </w:r>
    </w:p>
    <w:p w:rsidR="006C1F80" w:rsidRPr="001334D4" w:rsidRDefault="006C1F80" w:rsidP="004C4594">
      <w:pPr>
        <w:pStyle w:val="Default"/>
        <w:spacing w:line="360" w:lineRule="auto"/>
        <w:ind w:firstLine="720"/>
        <w:jc w:val="both"/>
        <w:rPr>
          <w:rFonts w:ascii="Times New Roman" w:hAnsi="Times New Roman" w:cs="Times New Roman"/>
        </w:rPr>
      </w:pPr>
      <w:r w:rsidRPr="001334D4">
        <w:rPr>
          <w:rFonts w:ascii="Times New Roman" w:hAnsi="Times New Roman" w:cs="Times New Roman"/>
        </w:rPr>
        <w:t xml:space="preserve">Cercetarea </w:t>
      </w:r>
      <w:proofErr w:type="gramStart"/>
      <w:r w:rsidRPr="001334D4">
        <w:rPr>
          <w:rFonts w:ascii="Times New Roman" w:hAnsi="Times New Roman" w:cs="Times New Roman"/>
        </w:rPr>
        <w:t>este</w:t>
      </w:r>
      <w:proofErr w:type="gramEnd"/>
      <w:r w:rsidRPr="001334D4">
        <w:rPr>
          <w:rFonts w:ascii="Times New Roman" w:hAnsi="Times New Roman" w:cs="Times New Roman"/>
        </w:rPr>
        <w:t xml:space="preserve"> de tip anchetă și s-a bazat pe elaborarea și difuzarea unui chestionar specializat. </w:t>
      </w:r>
      <w:r w:rsidR="003B0F6B" w:rsidRPr="001334D4">
        <w:rPr>
          <w:rFonts w:ascii="Times New Roman" w:hAnsi="Times New Roman" w:cs="Times New Roman"/>
        </w:rPr>
        <w:t xml:space="preserve">Acesta </w:t>
      </w:r>
      <w:proofErr w:type="gramStart"/>
      <w:r w:rsidR="003B0F6B" w:rsidRPr="001334D4">
        <w:rPr>
          <w:rFonts w:ascii="Times New Roman" w:hAnsi="Times New Roman" w:cs="Times New Roman"/>
        </w:rPr>
        <w:t>a</w:t>
      </w:r>
      <w:proofErr w:type="gramEnd"/>
      <w:r w:rsidR="003B0F6B" w:rsidRPr="001334D4">
        <w:rPr>
          <w:rFonts w:ascii="Times New Roman" w:hAnsi="Times New Roman" w:cs="Times New Roman"/>
        </w:rPr>
        <w:t xml:space="preserve"> avut în vedere identificarea atitudinii consumatorilor din România cu privire la decarbonizare și la tehnologiile integrate bazate pe pompe de căldură.</w:t>
      </w:r>
    </w:p>
    <w:p w:rsidR="003B0F6B" w:rsidRPr="001334D4" w:rsidRDefault="004C4594" w:rsidP="004C4594">
      <w:pPr>
        <w:pStyle w:val="Default"/>
        <w:spacing w:line="360" w:lineRule="auto"/>
        <w:ind w:firstLine="720"/>
        <w:jc w:val="both"/>
        <w:rPr>
          <w:rFonts w:ascii="Times New Roman" w:hAnsi="Times New Roman" w:cs="Times New Roman"/>
        </w:rPr>
      </w:pPr>
      <w:r w:rsidRPr="001334D4">
        <w:rPr>
          <w:rFonts w:ascii="Times New Roman" w:hAnsi="Times New Roman" w:cs="Times New Roman"/>
        </w:rPr>
        <w:t xml:space="preserve">Chestionarul cuprinde trei părți principale: prima parte conține întrebări demografice și întrebări legate de locuința respondenților, a doua parte vizează măsurarea atitudinii față de eficiența energetică și reducerea amprentei de carbon, în timp </w:t>
      </w:r>
      <w:proofErr w:type="gramStart"/>
      <w:r w:rsidRPr="001334D4">
        <w:rPr>
          <w:rFonts w:ascii="Times New Roman" w:hAnsi="Times New Roman" w:cs="Times New Roman"/>
        </w:rPr>
        <w:t>ce</w:t>
      </w:r>
      <w:proofErr w:type="gramEnd"/>
      <w:r w:rsidRPr="001334D4">
        <w:rPr>
          <w:rFonts w:ascii="Times New Roman" w:hAnsi="Times New Roman" w:cs="Times New Roman"/>
        </w:rPr>
        <w:t xml:space="preserve"> a treia secțiune evaluează factorii care ar putea influența atitudinea și percepția respondenților despre energia verde.</w:t>
      </w:r>
    </w:p>
    <w:p w:rsidR="004C4594" w:rsidRPr="001334D4" w:rsidRDefault="004E0D45" w:rsidP="000F6C8B">
      <w:pPr>
        <w:pStyle w:val="Default"/>
        <w:spacing w:line="360" w:lineRule="auto"/>
        <w:ind w:firstLine="720"/>
        <w:jc w:val="both"/>
        <w:rPr>
          <w:rFonts w:ascii="Times New Roman" w:hAnsi="Times New Roman" w:cs="Times New Roman"/>
        </w:rPr>
      </w:pPr>
      <w:r w:rsidRPr="001334D4">
        <w:rPr>
          <w:rFonts w:ascii="Times New Roman" w:hAnsi="Times New Roman" w:cs="Times New Roman"/>
        </w:rPr>
        <w:t>Pentru a maximiza rata de răspuns și a minimiza rata de abandon, toate întrebările sunt închise și, cu excepția celor demografice, sunt formulate pe o scală Likert de cinci puncte, care evaluează gradul de acord sau dezacord al respondenților cu o anumită afirmație, după cum urmează: 5—total de acord; 4—de acord; 3 — nici acord, nici dezacord; 2 — nu sunt de acord; 1 — total dezacord.</w:t>
      </w:r>
    </w:p>
    <w:p w:rsidR="003B0F6B" w:rsidRPr="001334D4" w:rsidRDefault="00764819" w:rsidP="000F6C8B">
      <w:pPr>
        <w:pStyle w:val="Default"/>
        <w:spacing w:line="360" w:lineRule="auto"/>
        <w:ind w:firstLine="720"/>
        <w:jc w:val="both"/>
        <w:rPr>
          <w:rFonts w:ascii="Times New Roman" w:hAnsi="Times New Roman" w:cs="Times New Roman"/>
        </w:rPr>
      </w:pPr>
      <w:r w:rsidRPr="001334D4">
        <w:rPr>
          <w:rFonts w:ascii="Times New Roman" w:hAnsi="Times New Roman" w:cs="Times New Roman"/>
        </w:rPr>
        <w:t>Chestionarul a fost distribuit online și au fost colectate 389 de răspunsuri valide în perioada martie-iunie 2023.</w:t>
      </w:r>
    </w:p>
    <w:p w:rsidR="003B0F6B" w:rsidRPr="001334D4" w:rsidRDefault="00AE7D97" w:rsidP="000F6C8B">
      <w:pPr>
        <w:pStyle w:val="Default"/>
        <w:spacing w:line="360" w:lineRule="auto"/>
        <w:ind w:firstLine="720"/>
        <w:jc w:val="both"/>
        <w:rPr>
          <w:rFonts w:ascii="Times New Roman" w:hAnsi="Times New Roman" w:cs="Times New Roman"/>
        </w:rPr>
      </w:pPr>
      <w:r w:rsidRPr="001334D4">
        <w:rPr>
          <w:rFonts w:ascii="Times New Roman" w:hAnsi="Times New Roman" w:cs="Times New Roman"/>
        </w:rPr>
        <w:lastRenderedPageBreak/>
        <w:t>Pentru un nivel de încredere de 95%, o marjă de eroare de 5%, o dimensiune a populației de 9.655.685 (conform Institutului Național de Statistică la 31 decembrie 2022 existau 9.655.685 unități de locuit în România) și o p̂ recomandată de 0,5 dacă nu sunteți sigur (în cazul nostru nu se știe pentru câte locuințe ar fi adecvată utilizarea tehnologiilor moderne, cum ar fi sistemele integrate bazate pe pompe de căldură, stocarea energiei termice și sistemele de control inteligent), rezultă o dimensiune a eșantionului de 385.</w:t>
      </w:r>
    </w:p>
    <w:p w:rsidR="006C1F80" w:rsidRPr="001334D4" w:rsidRDefault="006C1F80" w:rsidP="000F6C8B">
      <w:pPr>
        <w:pStyle w:val="Default"/>
        <w:spacing w:line="360" w:lineRule="auto"/>
        <w:ind w:left="1080"/>
        <w:jc w:val="both"/>
        <w:rPr>
          <w:rFonts w:ascii="Times New Roman" w:hAnsi="Times New Roman" w:cs="Times New Roman"/>
        </w:rPr>
      </w:pPr>
    </w:p>
    <w:p w:rsidR="00B9008E" w:rsidRPr="001334D4" w:rsidRDefault="00B9008E" w:rsidP="000F6C8B">
      <w:pPr>
        <w:pStyle w:val="Default"/>
        <w:numPr>
          <w:ilvl w:val="0"/>
          <w:numId w:val="1"/>
        </w:numPr>
        <w:spacing w:line="360" w:lineRule="auto"/>
        <w:jc w:val="both"/>
        <w:rPr>
          <w:rFonts w:ascii="Times New Roman" w:hAnsi="Times New Roman" w:cs="Times New Roman"/>
          <w:b/>
        </w:rPr>
      </w:pPr>
      <w:r w:rsidRPr="001334D4">
        <w:rPr>
          <w:rFonts w:ascii="Times New Roman" w:hAnsi="Times New Roman" w:cs="Times New Roman"/>
          <w:b/>
        </w:rPr>
        <w:t>Rezultate și discuție</w:t>
      </w:r>
    </w:p>
    <w:p w:rsidR="00B9008E" w:rsidRPr="001334D4" w:rsidRDefault="000F6C8B" w:rsidP="000F6C8B">
      <w:pPr>
        <w:pStyle w:val="Default"/>
        <w:spacing w:line="360" w:lineRule="auto"/>
        <w:ind w:firstLine="720"/>
        <w:jc w:val="both"/>
        <w:rPr>
          <w:rFonts w:ascii="Times New Roman" w:hAnsi="Times New Roman" w:cs="Times New Roman"/>
        </w:rPr>
      </w:pPr>
      <w:r w:rsidRPr="001334D4">
        <w:rPr>
          <w:rFonts w:ascii="Times New Roman" w:hAnsi="Times New Roman" w:cs="Times New Roman"/>
        </w:rPr>
        <w:t xml:space="preserve">Deoarece valorile 1, 2 și 3 de pe scara Likert indică fie o atitudine negativă sau indiferentă față de îmbunătățirea performanței energetice și reducerea amprentei de carbon, răspunsurile au fost grupate în trei </w:t>
      </w:r>
      <w:proofErr w:type="gramStart"/>
      <w:r w:rsidRPr="001334D4">
        <w:rPr>
          <w:rFonts w:ascii="Times New Roman" w:hAnsi="Times New Roman" w:cs="Times New Roman"/>
        </w:rPr>
        <w:t>mari</w:t>
      </w:r>
      <w:proofErr w:type="gramEnd"/>
      <w:r w:rsidRPr="001334D4">
        <w:rPr>
          <w:rFonts w:ascii="Times New Roman" w:hAnsi="Times New Roman" w:cs="Times New Roman"/>
        </w:rPr>
        <w:t xml:space="preserve"> categorii: atitudine negativă sau indifer</w:t>
      </w:r>
      <w:r w:rsidR="008244C8" w:rsidRPr="001334D4">
        <w:rPr>
          <w:rFonts w:ascii="Times New Roman" w:hAnsi="Times New Roman" w:cs="Times New Roman"/>
        </w:rPr>
        <w:t>entă (1, 2 și 3), pozitivă (4)</w:t>
      </w:r>
      <w:r w:rsidRPr="001334D4">
        <w:rPr>
          <w:rFonts w:ascii="Times New Roman" w:hAnsi="Times New Roman" w:cs="Times New Roman"/>
        </w:rPr>
        <w:t xml:space="preserve"> și foarte pozitivă (5).</w:t>
      </w:r>
    </w:p>
    <w:p w:rsidR="006C1F80" w:rsidRPr="001334D4" w:rsidRDefault="008244C8" w:rsidP="008244C8">
      <w:pPr>
        <w:pStyle w:val="Default"/>
        <w:spacing w:line="360" w:lineRule="auto"/>
        <w:ind w:firstLine="720"/>
        <w:rPr>
          <w:rFonts w:ascii="Times New Roman" w:hAnsi="Times New Roman" w:cs="Times New Roman"/>
        </w:rPr>
      </w:pPr>
      <w:r w:rsidRPr="001334D4">
        <w:rPr>
          <w:rFonts w:ascii="Times New Roman" w:hAnsi="Times New Roman" w:cs="Times New Roman"/>
        </w:rPr>
        <w:t>Din analiza frecvenței a rezultat că aproximativ 42% dintre respondenți declară o atitudine pozitivă, aproximativ 40% chiar una foarte pozitivă și 16% sunt indiferenți sau au o atitudine negativă față de îmbunătățirea performanței energetice și reducerea amprentei de carbon.</w:t>
      </w:r>
    </w:p>
    <w:p w:rsidR="004F2996" w:rsidRDefault="004F2996" w:rsidP="008244C8">
      <w:pPr>
        <w:pStyle w:val="Default"/>
        <w:spacing w:line="360" w:lineRule="auto"/>
        <w:ind w:firstLine="720"/>
      </w:pPr>
    </w:p>
    <w:p w:rsidR="004F2996" w:rsidRPr="005F6C3F" w:rsidRDefault="004F2996" w:rsidP="004F2996">
      <w:pPr>
        <w:adjustRightInd w:val="0"/>
        <w:snapToGrid w:val="0"/>
        <w:spacing w:after="0" w:line="240" w:lineRule="auto"/>
        <w:rPr>
          <w:rFonts w:ascii="Times New Roman" w:hAnsi="Times New Roman" w:cs="Times New Roman"/>
          <w:sz w:val="24"/>
          <w:szCs w:val="24"/>
        </w:rPr>
      </w:pPr>
    </w:p>
    <w:tbl>
      <w:tblPr>
        <w:tblW w:w="1046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FFFFFF"/>
        <w:tblLayout w:type="fixed"/>
        <w:tblCellMar>
          <w:left w:w="0" w:type="dxa"/>
          <w:right w:w="0" w:type="dxa"/>
        </w:tblCellMar>
        <w:tblLook w:val="0000" w:firstRow="0" w:lastRow="0" w:firstColumn="0" w:lastColumn="0" w:noHBand="0" w:noVBand="0"/>
      </w:tblPr>
      <w:tblGrid>
        <w:gridCol w:w="1043"/>
        <w:gridCol w:w="2581"/>
        <w:gridCol w:w="1408"/>
        <w:gridCol w:w="1208"/>
        <w:gridCol w:w="1610"/>
        <w:gridCol w:w="2615"/>
      </w:tblGrid>
      <w:tr w:rsidR="004F2996" w:rsidRPr="005F6C3F" w:rsidTr="008F7856">
        <w:trPr>
          <w:cantSplit/>
          <w:jc w:val="center"/>
        </w:trPr>
        <w:tc>
          <w:tcPr>
            <w:tcW w:w="10465" w:type="dxa"/>
            <w:gridSpan w:val="6"/>
            <w:tcBorders>
              <w:top w:val="single" w:sz="8" w:space="0" w:color="auto"/>
              <w:left w:val="nil"/>
              <w:bottom w:val="nil"/>
              <w:right w:val="nil"/>
            </w:tcBorders>
            <w:shd w:val="clear" w:color="auto" w:fill="FFFFFF"/>
            <w:vAlign w:val="center"/>
          </w:tcPr>
          <w:p w:rsidR="004F2996" w:rsidRPr="005F6C3F" w:rsidRDefault="00C02025" w:rsidP="000D4822">
            <w:pPr>
              <w:autoSpaceDE w:val="0"/>
              <w:autoSpaceDN w:val="0"/>
              <w:adjustRightInd w:val="0"/>
              <w:snapToGrid w:val="0"/>
              <w:spacing w:after="0" w:line="240" w:lineRule="auto"/>
              <w:contextualSpacing/>
              <w:jc w:val="center"/>
              <w:rPr>
                <w:rFonts w:ascii="Times New Roman" w:hAnsi="Times New Roman" w:cs="Times New Roman"/>
                <w:color w:val="000000"/>
                <w:sz w:val="20"/>
                <w:szCs w:val="18"/>
              </w:rPr>
            </w:pPr>
            <w:r>
              <w:t>A</w:t>
            </w:r>
            <w:r w:rsidR="008F7856" w:rsidRPr="008F7856">
              <w:t>titudinea</w:t>
            </w:r>
            <w:r w:rsidR="002814B7">
              <w:t xml:space="preserve"> consumatorilor</w:t>
            </w:r>
            <w:r w:rsidR="008F7856" w:rsidRPr="008F7856">
              <w:t xml:space="preserve">  față de îmbunătățirea</w:t>
            </w:r>
            <w:r w:rsidR="008F7856">
              <w:t xml:space="preserve"> p</w:t>
            </w:r>
            <w:r w:rsidR="008F7856" w:rsidRPr="000F6C8B">
              <w:t>erformanței energetice și reducerea amprentei de carbon</w:t>
            </w:r>
          </w:p>
        </w:tc>
      </w:tr>
      <w:tr w:rsidR="004F2996" w:rsidRPr="005F6C3F" w:rsidTr="008F7856">
        <w:trPr>
          <w:cantSplit/>
          <w:jc w:val="center"/>
        </w:trPr>
        <w:tc>
          <w:tcPr>
            <w:tcW w:w="3624" w:type="dxa"/>
            <w:gridSpan w:val="2"/>
            <w:tcBorders>
              <w:top w:val="single" w:sz="16" w:space="0" w:color="000000"/>
              <w:left w:val="nil"/>
              <w:bottom w:val="single" w:sz="16" w:space="0" w:color="000000"/>
              <w:right w:val="nil"/>
            </w:tcBorders>
            <w:shd w:val="clear" w:color="auto" w:fill="FFFFFF"/>
            <w:vAlign w:val="center"/>
          </w:tcPr>
          <w:p w:rsidR="004F2996" w:rsidRPr="005F6C3F" w:rsidRDefault="004F2996" w:rsidP="000D4822">
            <w:pPr>
              <w:autoSpaceDE w:val="0"/>
              <w:autoSpaceDN w:val="0"/>
              <w:adjustRightInd w:val="0"/>
              <w:snapToGrid w:val="0"/>
              <w:spacing w:after="0" w:line="240" w:lineRule="auto"/>
              <w:contextualSpacing/>
              <w:jc w:val="center"/>
              <w:rPr>
                <w:rFonts w:ascii="Times New Roman" w:hAnsi="Times New Roman" w:cs="Times New Roman"/>
                <w:color w:val="000000"/>
                <w:sz w:val="20"/>
                <w:szCs w:val="18"/>
              </w:rPr>
            </w:pPr>
          </w:p>
        </w:tc>
        <w:tc>
          <w:tcPr>
            <w:tcW w:w="1408" w:type="dxa"/>
            <w:tcBorders>
              <w:top w:val="single" w:sz="16" w:space="0" w:color="000000"/>
              <w:left w:val="nil"/>
              <w:bottom w:val="single" w:sz="16" w:space="0" w:color="000000"/>
              <w:right w:val="nil"/>
            </w:tcBorders>
            <w:shd w:val="clear" w:color="auto" w:fill="FFFFFF"/>
            <w:vAlign w:val="center"/>
          </w:tcPr>
          <w:p w:rsidR="004F2996" w:rsidRPr="005F6C3F" w:rsidRDefault="004F2996" w:rsidP="008F7856">
            <w:pPr>
              <w:autoSpaceDE w:val="0"/>
              <w:autoSpaceDN w:val="0"/>
              <w:adjustRightInd w:val="0"/>
              <w:snapToGrid w:val="0"/>
              <w:spacing w:after="0" w:line="240" w:lineRule="auto"/>
              <w:contextualSpacing/>
              <w:jc w:val="center"/>
              <w:rPr>
                <w:rFonts w:ascii="Times New Roman" w:hAnsi="Times New Roman" w:cs="Times New Roman"/>
                <w:color w:val="000000"/>
                <w:sz w:val="20"/>
                <w:szCs w:val="18"/>
              </w:rPr>
            </w:pPr>
            <w:r w:rsidRPr="005F6C3F">
              <w:rPr>
                <w:rFonts w:ascii="Times New Roman" w:hAnsi="Times New Roman" w:cs="Times New Roman"/>
                <w:color w:val="000000"/>
                <w:sz w:val="20"/>
                <w:szCs w:val="18"/>
              </w:rPr>
              <w:t>Fre</w:t>
            </w:r>
            <w:r w:rsidR="008F7856">
              <w:rPr>
                <w:rFonts w:ascii="Times New Roman" w:hAnsi="Times New Roman" w:cs="Times New Roman"/>
                <w:color w:val="000000"/>
                <w:sz w:val="20"/>
                <w:szCs w:val="18"/>
              </w:rPr>
              <w:t>cvență</w:t>
            </w:r>
          </w:p>
        </w:tc>
        <w:tc>
          <w:tcPr>
            <w:tcW w:w="1208" w:type="dxa"/>
            <w:tcBorders>
              <w:top w:val="single" w:sz="16" w:space="0" w:color="000000"/>
              <w:left w:val="nil"/>
              <w:bottom w:val="single" w:sz="16" w:space="0" w:color="000000"/>
              <w:right w:val="nil"/>
            </w:tcBorders>
            <w:shd w:val="clear" w:color="auto" w:fill="FFFFFF"/>
            <w:vAlign w:val="center"/>
          </w:tcPr>
          <w:p w:rsidR="004F2996" w:rsidRPr="005F6C3F" w:rsidRDefault="004F2996" w:rsidP="008F7856">
            <w:pPr>
              <w:autoSpaceDE w:val="0"/>
              <w:autoSpaceDN w:val="0"/>
              <w:adjustRightInd w:val="0"/>
              <w:snapToGrid w:val="0"/>
              <w:spacing w:after="0" w:line="240" w:lineRule="auto"/>
              <w:contextualSpacing/>
              <w:jc w:val="center"/>
              <w:rPr>
                <w:rFonts w:ascii="Times New Roman" w:hAnsi="Times New Roman" w:cs="Times New Roman"/>
                <w:color w:val="000000"/>
                <w:sz w:val="20"/>
                <w:szCs w:val="18"/>
              </w:rPr>
            </w:pPr>
            <w:r w:rsidRPr="005F6C3F">
              <w:rPr>
                <w:rFonts w:ascii="Times New Roman" w:hAnsi="Times New Roman" w:cs="Times New Roman"/>
                <w:color w:val="000000"/>
                <w:sz w:val="20"/>
                <w:szCs w:val="18"/>
              </w:rPr>
              <w:t>P</w:t>
            </w:r>
            <w:r w:rsidR="008F7856">
              <w:rPr>
                <w:rFonts w:ascii="Times New Roman" w:hAnsi="Times New Roman" w:cs="Times New Roman"/>
                <w:color w:val="000000"/>
                <w:sz w:val="20"/>
                <w:szCs w:val="18"/>
              </w:rPr>
              <w:t>ro</w:t>
            </w:r>
            <w:r w:rsidRPr="005F6C3F">
              <w:rPr>
                <w:rFonts w:ascii="Times New Roman" w:hAnsi="Times New Roman" w:cs="Times New Roman"/>
                <w:color w:val="000000"/>
                <w:sz w:val="20"/>
                <w:szCs w:val="18"/>
              </w:rPr>
              <w:t>cent</w:t>
            </w:r>
          </w:p>
        </w:tc>
        <w:tc>
          <w:tcPr>
            <w:tcW w:w="1610" w:type="dxa"/>
            <w:tcBorders>
              <w:top w:val="single" w:sz="16" w:space="0" w:color="000000"/>
              <w:left w:val="nil"/>
              <w:bottom w:val="single" w:sz="16" w:space="0" w:color="000000"/>
              <w:right w:val="nil"/>
            </w:tcBorders>
            <w:shd w:val="clear" w:color="auto" w:fill="FFFFFF"/>
            <w:vAlign w:val="center"/>
          </w:tcPr>
          <w:p w:rsidR="004F2996" w:rsidRPr="005F6C3F" w:rsidRDefault="004F2996" w:rsidP="008F7856">
            <w:pPr>
              <w:autoSpaceDE w:val="0"/>
              <w:autoSpaceDN w:val="0"/>
              <w:adjustRightInd w:val="0"/>
              <w:snapToGrid w:val="0"/>
              <w:spacing w:after="0" w:line="240" w:lineRule="auto"/>
              <w:contextualSpacing/>
              <w:jc w:val="center"/>
              <w:rPr>
                <w:rFonts w:ascii="Times New Roman" w:hAnsi="Times New Roman" w:cs="Times New Roman"/>
                <w:color w:val="000000"/>
                <w:sz w:val="20"/>
                <w:szCs w:val="18"/>
              </w:rPr>
            </w:pPr>
            <w:r w:rsidRPr="005F6C3F">
              <w:rPr>
                <w:rFonts w:ascii="Times New Roman" w:hAnsi="Times New Roman" w:cs="Times New Roman"/>
                <w:color w:val="000000"/>
                <w:sz w:val="20"/>
                <w:szCs w:val="18"/>
              </w:rPr>
              <w:t>Valid</w:t>
            </w:r>
            <w:r w:rsidR="008F7856">
              <w:rPr>
                <w:rFonts w:ascii="Times New Roman" w:hAnsi="Times New Roman" w:cs="Times New Roman"/>
                <w:color w:val="000000"/>
                <w:sz w:val="20"/>
                <w:szCs w:val="18"/>
              </w:rPr>
              <w:t>are</w:t>
            </w:r>
            <w:r w:rsidRPr="005F6C3F">
              <w:rPr>
                <w:rFonts w:ascii="Times New Roman" w:hAnsi="Times New Roman" w:cs="Times New Roman"/>
                <w:color w:val="000000"/>
                <w:sz w:val="20"/>
                <w:szCs w:val="18"/>
              </w:rPr>
              <w:t xml:space="preserve"> </w:t>
            </w:r>
            <w:r w:rsidR="008F7856">
              <w:rPr>
                <w:rFonts w:ascii="Times New Roman" w:hAnsi="Times New Roman" w:cs="Times New Roman"/>
                <w:color w:val="000000"/>
                <w:sz w:val="20"/>
                <w:szCs w:val="18"/>
              </w:rPr>
              <w:t>%</w:t>
            </w:r>
          </w:p>
        </w:tc>
        <w:tc>
          <w:tcPr>
            <w:tcW w:w="2615" w:type="dxa"/>
            <w:tcBorders>
              <w:top w:val="single" w:sz="16" w:space="0" w:color="000000"/>
              <w:left w:val="nil"/>
              <w:bottom w:val="single" w:sz="16" w:space="0" w:color="000000"/>
              <w:right w:val="nil"/>
            </w:tcBorders>
            <w:shd w:val="clear" w:color="auto" w:fill="FFFFFF"/>
            <w:vAlign w:val="center"/>
          </w:tcPr>
          <w:p w:rsidR="004F2996" w:rsidRPr="005F6C3F" w:rsidRDefault="008F7856" w:rsidP="008F7856">
            <w:pPr>
              <w:autoSpaceDE w:val="0"/>
              <w:autoSpaceDN w:val="0"/>
              <w:adjustRightInd w:val="0"/>
              <w:snapToGrid w:val="0"/>
              <w:spacing w:after="0" w:line="240" w:lineRule="auto"/>
              <w:contextualSpacing/>
              <w:jc w:val="center"/>
              <w:rPr>
                <w:rFonts w:ascii="Times New Roman" w:hAnsi="Times New Roman" w:cs="Times New Roman"/>
                <w:color w:val="000000"/>
                <w:sz w:val="20"/>
                <w:szCs w:val="18"/>
              </w:rPr>
            </w:pPr>
            <w:r>
              <w:rPr>
                <w:rFonts w:ascii="Times New Roman" w:hAnsi="Times New Roman" w:cs="Times New Roman"/>
                <w:color w:val="000000"/>
                <w:sz w:val="20"/>
                <w:szCs w:val="18"/>
              </w:rPr>
              <w:t>% Cumulat</w:t>
            </w:r>
          </w:p>
        </w:tc>
      </w:tr>
      <w:tr w:rsidR="004F2996" w:rsidRPr="005F6C3F" w:rsidTr="008F7856">
        <w:trPr>
          <w:cantSplit/>
          <w:jc w:val="center"/>
        </w:trPr>
        <w:tc>
          <w:tcPr>
            <w:tcW w:w="1043" w:type="dxa"/>
            <w:vMerge w:val="restart"/>
            <w:tcBorders>
              <w:top w:val="single" w:sz="16" w:space="0" w:color="000000"/>
              <w:left w:val="nil"/>
              <w:bottom w:val="single" w:sz="16" w:space="0" w:color="000000"/>
              <w:right w:val="nil"/>
            </w:tcBorders>
            <w:shd w:val="clear" w:color="auto" w:fill="FFFFFF"/>
            <w:vAlign w:val="center"/>
          </w:tcPr>
          <w:p w:rsidR="004F2996" w:rsidRPr="005F6C3F" w:rsidRDefault="004F2996" w:rsidP="000D4822">
            <w:pPr>
              <w:autoSpaceDE w:val="0"/>
              <w:autoSpaceDN w:val="0"/>
              <w:adjustRightInd w:val="0"/>
              <w:snapToGrid w:val="0"/>
              <w:spacing w:after="0" w:line="240" w:lineRule="auto"/>
              <w:contextualSpacing/>
              <w:jc w:val="center"/>
              <w:rPr>
                <w:rFonts w:ascii="Times New Roman" w:hAnsi="Times New Roman" w:cs="Times New Roman"/>
                <w:color w:val="000000"/>
                <w:sz w:val="20"/>
                <w:szCs w:val="18"/>
              </w:rPr>
            </w:pPr>
            <w:r w:rsidRPr="005F6C3F">
              <w:rPr>
                <w:rFonts w:ascii="Times New Roman" w:hAnsi="Times New Roman" w:cs="Times New Roman"/>
                <w:color w:val="000000"/>
                <w:sz w:val="20"/>
                <w:szCs w:val="18"/>
              </w:rPr>
              <w:t>Valid</w:t>
            </w:r>
            <w:r w:rsidR="008F7856">
              <w:rPr>
                <w:rFonts w:ascii="Times New Roman" w:hAnsi="Times New Roman" w:cs="Times New Roman"/>
                <w:color w:val="000000"/>
                <w:sz w:val="20"/>
                <w:szCs w:val="18"/>
              </w:rPr>
              <w:t>are</w:t>
            </w:r>
          </w:p>
        </w:tc>
        <w:tc>
          <w:tcPr>
            <w:tcW w:w="2581" w:type="dxa"/>
            <w:tcBorders>
              <w:top w:val="single" w:sz="16" w:space="0" w:color="000000"/>
              <w:left w:val="nil"/>
              <w:bottom w:val="nil"/>
              <w:right w:val="nil"/>
            </w:tcBorders>
            <w:shd w:val="clear" w:color="auto" w:fill="FFFFFF"/>
            <w:vAlign w:val="center"/>
          </w:tcPr>
          <w:p w:rsidR="004F2996" w:rsidRPr="005F6C3F" w:rsidRDefault="004F2996" w:rsidP="008F7856">
            <w:pPr>
              <w:autoSpaceDE w:val="0"/>
              <w:autoSpaceDN w:val="0"/>
              <w:adjustRightInd w:val="0"/>
              <w:snapToGrid w:val="0"/>
              <w:spacing w:after="0" w:line="240" w:lineRule="auto"/>
              <w:contextualSpacing/>
              <w:jc w:val="center"/>
              <w:rPr>
                <w:rFonts w:ascii="Times New Roman" w:hAnsi="Times New Roman" w:cs="Times New Roman"/>
                <w:color w:val="000000"/>
                <w:sz w:val="20"/>
                <w:szCs w:val="18"/>
              </w:rPr>
            </w:pPr>
            <w:r w:rsidRPr="005F6C3F">
              <w:rPr>
                <w:rFonts w:ascii="Times New Roman" w:hAnsi="Times New Roman" w:cs="Times New Roman"/>
                <w:color w:val="000000"/>
                <w:sz w:val="20"/>
                <w:szCs w:val="18"/>
              </w:rPr>
              <w:t>negativ/</w:t>
            </w:r>
            <w:r w:rsidR="008F7856">
              <w:rPr>
                <w:rFonts w:ascii="Times New Roman" w:hAnsi="Times New Roman" w:cs="Times New Roman"/>
                <w:color w:val="000000"/>
                <w:sz w:val="20"/>
                <w:szCs w:val="18"/>
              </w:rPr>
              <w:t>indiferent</w:t>
            </w:r>
          </w:p>
        </w:tc>
        <w:tc>
          <w:tcPr>
            <w:tcW w:w="1408" w:type="dxa"/>
            <w:tcBorders>
              <w:top w:val="single" w:sz="16" w:space="0" w:color="000000"/>
              <w:left w:val="nil"/>
              <w:bottom w:val="nil"/>
              <w:right w:val="nil"/>
            </w:tcBorders>
            <w:shd w:val="clear" w:color="auto" w:fill="FFFFFF"/>
            <w:vAlign w:val="center"/>
          </w:tcPr>
          <w:p w:rsidR="004F2996" w:rsidRPr="005F6C3F" w:rsidRDefault="004F2996" w:rsidP="000D4822">
            <w:pPr>
              <w:autoSpaceDE w:val="0"/>
              <w:autoSpaceDN w:val="0"/>
              <w:adjustRightInd w:val="0"/>
              <w:snapToGrid w:val="0"/>
              <w:spacing w:after="0" w:line="240" w:lineRule="auto"/>
              <w:contextualSpacing/>
              <w:jc w:val="center"/>
              <w:rPr>
                <w:rFonts w:ascii="Times New Roman" w:hAnsi="Times New Roman" w:cs="Times New Roman"/>
                <w:color w:val="000000"/>
                <w:sz w:val="20"/>
                <w:szCs w:val="18"/>
              </w:rPr>
            </w:pPr>
            <w:r w:rsidRPr="005F6C3F">
              <w:rPr>
                <w:rFonts w:ascii="Times New Roman" w:hAnsi="Times New Roman" w:cs="Times New Roman"/>
                <w:color w:val="000000"/>
                <w:sz w:val="20"/>
                <w:szCs w:val="18"/>
              </w:rPr>
              <w:t>65</w:t>
            </w:r>
          </w:p>
        </w:tc>
        <w:tc>
          <w:tcPr>
            <w:tcW w:w="1208" w:type="dxa"/>
            <w:tcBorders>
              <w:top w:val="single" w:sz="16" w:space="0" w:color="000000"/>
              <w:left w:val="nil"/>
              <w:bottom w:val="nil"/>
              <w:right w:val="nil"/>
            </w:tcBorders>
            <w:shd w:val="clear" w:color="auto" w:fill="FFFFFF"/>
            <w:vAlign w:val="center"/>
          </w:tcPr>
          <w:p w:rsidR="004F2996" w:rsidRPr="005F6C3F" w:rsidRDefault="004F2996" w:rsidP="000D4822">
            <w:pPr>
              <w:autoSpaceDE w:val="0"/>
              <w:autoSpaceDN w:val="0"/>
              <w:adjustRightInd w:val="0"/>
              <w:snapToGrid w:val="0"/>
              <w:spacing w:after="0" w:line="240" w:lineRule="auto"/>
              <w:contextualSpacing/>
              <w:jc w:val="center"/>
              <w:rPr>
                <w:rFonts w:ascii="Times New Roman" w:hAnsi="Times New Roman" w:cs="Times New Roman"/>
                <w:color w:val="000000"/>
                <w:sz w:val="20"/>
                <w:szCs w:val="18"/>
              </w:rPr>
            </w:pPr>
            <w:r w:rsidRPr="005F6C3F">
              <w:rPr>
                <w:rFonts w:ascii="Times New Roman" w:hAnsi="Times New Roman" w:cs="Times New Roman"/>
                <w:color w:val="000000"/>
                <w:sz w:val="20"/>
                <w:szCs w:val="18"/>
              </w:rPr>
              <w:t>16,7</w:t>
            </w:r>
          </w:p>
        </w:tc>
        <w:tc>
          <w:tcPr>
            <w:tcW w:w="1610" w:type="dxa"/>
            <w:tcBorders>
              <w:top w:val="single" w:sz="16" w:space="0" w:color="000000"/>
              <w:left w:val="nil"/>
              <w:bottom w:val="nil"/>
              <w:right w:val="nil"/>
            </w:tcBorders>
            <w:shd w:val="clear" w:color="auto" w:fill="FFFFFF"/>
            <w:vAlign w:val="center"/>
          </w:tcPr>
          <w:p w:rsidR="004F2996" w:rsidRPr="005F6C3F" w:rsidRDefault="004F2996" w:rsidP="000D4822">
            <w:pPr>
              <w:autoSpaceDE w:val="0"/>
              <w:autoSpaceDN w:val="0"/>
              <w:adjustRightInd w:val="0"/>
              <w:snapToGrid w:val="0"/>
              <w:spacing w:after="0" w:line="240" w:lineRule="auto"/>
              <w:contextualSpacing/>
              <w:jc w:val="center"/>
              <w:rPr>
                <w:rFonts w:ascii="Times New Roman" w:hAnsi="Times New Roman" w:cs="Times New Roman"/>
                <w:color w:val="000000"/>
                <w:sz w:val="20"/>
                <w:szCs w:val="18"/>
              </w:rPr>
            </w:pPr>
            <w:r w:rsidRPr="005F6C3F">
              <w:rPr>
                <w:rFonts w:ascii="Times New Roman" w:hAnsi="Times New Roman" w:cs="Times New Roman"/>
                <w:color w:val="000000"/>
                <w:sz w:val="20"/>
                <w:szCs w:val="18"/>
              </w:rPr>
              <w:t>16,7</w:t>
            </w:r>
          </w:p>
        </w:tc>
        <w:tc>
          <w:tcPr>
            <w:tcW w:w="2615" w:type="dxa"/>
            <w:tcBorders>
              <w:top w:val="single" w:sz="16" w:space="0" w:color="000000"/>
              <w:left w:val="nil"/>
              <w:bottom w:val="nil"/>
              <w:right w:val="nil"/>
            </w:tcBorders>
            <w:shd w:val="clear" w:color="auto" w:fill="FFFFFF"/>
            <w:vAlign w:val="center"/>
          </w:tcPr>
          <w:p w:rsidR="004F2996" w:rsidRPr="005F6C3F" w:rsidRDefault="004F2996" w:rsidP="000D4822">
            <w:pPr>
              <w:autoSpaceDE w:val="0"/>
              <w:autoSpaceDN w:val="0"/>
              <w:adjustRightInd w:val="0"/>
              <w:snapToGrid w:val="0"/>
              <w:spacing w:after="0" w:line="240" w:lineRule="auto"/>
              <w:contextualSpacing/>
              <w:jc w:val="center"/>
              <w:rPr>
                <w:rFonts w:ascii="Times New Roman" w:hAnsi="Times New Roman" w:cs="Times New Roman"/>
                <w:color w:val="000000"/>
                <w:sz w:val="20"/>
                <w:szCs w:val="18"/>
              </w:rPr>
            </w:pPr>
            <w:r w:rsidRPr="005F6C3F">
              <w:rPr>
                <w:rFonts w:ascii="Times New Roman" w:hAnsi="Times New Roman" w:cs="Times New Roman"/>
                <w:color w:val="000000"/>
                <w:sz w:val="20"/>
                <w:szCs w:val="18"/>
              </w:rPr>
              <w:t>16,7</w:t>
            </w:r>
          </w:p>
        </w:tc>
      </w:tr>
      <w:tr w:rsidR="004F2996" w:rsidRPr="005F6C3F" w:rsidTr="008F7856">
        <w:trPr>
          <w:cantSplit/>
          <w:jc w:val="center"/>
        </w:trPr>
        <w:tc>
          <w:tcPr>
            <w:tcW w:w="1043" w:type="dxa"/>
            <w:vMerge/>
            <w:tcBorders>
              <w:top w:val="single" w:sz="16" w:space="0" w:color="000000"/>
              <w:left w:val="nil"/>
              <w:bottom w:val="single" w:sz="16" w:space="0" w:color="000000"/>
              <w:right w:val="nil"/>
            </w:tcBorders>
            <w:shd w:val="clear" w:color="auto" w:fill="FFFFFF"/>
            <w:vAlign w:val="center"/>
          </w:tcPr>
          <w:p w:rsidR="004F2996" w:rsidRPr="005F6C3F" w:rsidRDefault="004F2996" w:rsidP="000D4822">
            <w:pPr>
              <w:autoSpaceDE w:val="0"/>
              <w:autoSpaceDN w:val="0"/>
              <w:adjustRightInd w:val="0"/>
              <w:snapToGrid w:val="0"/>
              <w:spacing w:after="0" w:line="240" w:lineRule="auto"/>
              <w:contextualSpacing/>
              <w:jc w:val="center"/>
              <w:rPr>
                <w:rFonts w:ascii="Times New Roman" w:hAnsi="Times New Roman" w:cs="Times New Roman"/>
                <w:color w:val="000000"/>
                <w:sz w:val="20"/>
                <w:szCs w:val="18"/>
              </w:rPr>
            </w:pPr>
          </w:p>
        </w:tc>
        <w:tc>
          <w:tcPr>
            <w:tcW w:w="2581" w:type="dxa"/>
            <w:tcBorders>
              <w:top w:val="nil"/>
              <w:left w:val="nil"/>
              <w:bottom w:val="nil"/>
              <w:right w:val="nil"/>
            </w:tcBorders>
            <w:shd w:val="clear" w:color="auto" w:fill="FFFFFF"/>
            <w:vAlign w:val="center"/>
          </w:tcPr>
          <w:p w:rsidR="004F2996" w:rsidRPr="005F6C3F" w:rsidRDefault="004F2996" w:rsidP="008F7856">
            <w:pPr>
              <w:autoSpaceDE w:val="0"/>
              <w:autoSpaceDN w:val="0"/>
              <w:adjustRightInd w:val="0"/>
              <w:snapToGrid w:val="0"/>
              <w:spacing w:after="0" w:line="240" w:lineRule="auto"/>
              <w:contextualSpacing/>
              <w:jc w:val="center"/>
              <w:rPr>
                <w:rFonts w:ascii="Times New Roman" w:hAnsi="Times New Roman" w:cs="Times New Roman"/>
                <w:color w:val="000000"/>
                <w:sz w:val="20"/>
                <w:szCs w:val="18"/>
              </w:rPr>
            </w:pPr>
            <w:r w:rsidRPr="005F6C3F">
              <w:rPr>
                <w:rFonts w:ascii="Times New Roman" w:hAnsi="Times New Roman" w:cs="Times New Roman"/>
                <w:color w:val="000000"/>
                <w:sz w:val="20"/>
                <w:szCs w:val="18"/>
              </w:rPr>
              <w:t>positiv</w:t>
            </w:r>
          </w:p>
        </w:tc>
        <w:tc>
          <w:tcPr>
            <w:tcW w:w="1408" w:type="dxa"/>
            <w:tcBorders>
              <w:top w:val="nil"/>
              <w:left w:val="nil"/>
              <w:bottom w:val="nil"/>
              <w:right w:val="nil"/>
            </w:tcBorders>
            <w:shd w:val="clear" w:color="auto" w:fill="FFFFFF"/>
            <w:vAlign w:val="center"/>
          </w:tcPr>
          <w:p w:rsidR="004F2996" w:rsidRPr="005F6C3F" w:rsidRDefault="004F2996" w:rsidP="000D4822">
            <w:pPr>
              <w:autoSpaceDE w:val="0"/>
              <w:autoSpaceDN w:val="0"/>
              <w:adjustRightInd w:val="0"/>
              <w:snapToGrid w:val="0"/>
              <w:spacing w:after="0" w:line="240" w:lineRule="auto"/>
              <w:contextualSpacing/>
              <w:jc w:val="center"/>
              <w:rPr>
                <w:rFonts w:ascii="Times New Roman" w:hAnsi="Times New Roman" w:cs="Times New Roman"/>
                <w:color w:val="000000"/>
                <w:sz w:val="20"/>
                <w:szCs w:val="18"/>
              </w:rPr>
            </w:pPr>
            <w:r w:rsidRPr="005F6C3F">
              <w:rPr>
                <w:rFonts w:ascii="Times New Roman" w:hAnsi="Times New Roman" w:cs="Times New Roman"/>
                <w:color w:val="000000"/>
                <w:sz w:val="20"/>
                <w:szCs w:val="18"/>
              </w:rPr>
              <w:t>166</w:t>
            </w:r>
          </w:p>
        </w:tc>
        <w:tc>
          <w:tcPr>
            <w:tcW w:w="1208" w:type="dxa"/>
            <w:tcBorders>
              <w:top w:val="nil"/>
              <w:left w:val="nil"/>
              <w:bottom w:val="nil"/>
              <w:right w:val="nil"/>
            </w:tcBorders>
            <w:shd w:val="clear" w:color="auto" w:fill="FFFFFF"/>
            <w:vAlign w:val="center"/>
          </w:tcPr>
          <w:p w:rsidR="004F2996" w:rsidRPr="005F6C3F" w:rsidRDefault="004F2996" w:rsidP="000D4822">
            <w:pPr>
              <w:autoSpaceDE w:val="0"/>
              <w:autoSpaceDN w:val="0"/>
              <w:adjustRightInd w:val="0"/>
              <w:snapToGrid w:val="0"/>
              <w:spacing w:after="0" w:line="240" w:lineRule="auto"/>
              <w:contextualSpacing/>
              <w:jc w:val="center"/>
              <w:rPr>
                <w:rFonts w:ascii="Times New Roman" w:hAnsi="Times New Roman" w:cs="Times New Roman"/>
                <w:color w:val="000000"/>
                <w:sz w:val="20"/>
                <w:szCs w:val="18"/>
              </w:rPr>
            </w:pPr>
            <w:r w:rsidRPr="005F6C3F">
              <w:rPr>
                <w:rFonts w:ascii="Times New Roman" w:hAnsi="Times New Roman" w:cs="Times New Roman"/>
                <w:color w:val="000000"/>
                <w:sz w:val="20"/>
                <w:szCs w:val="18"/>
              </w:rPr>
              <w:t>42,7</w:t>
            </w:r>
          </w:p>
        </w:tc>
        <w:tc>
          <w:tcPr>
            <w:tcW w:w="1610" w:type="dxa"/>
            <w:tcBorders>
              <w:top w:val="nil"/>
              <w:left w:val="nil"/>
              <w:bottom w:val="nil"/>
              <w:right w:val="nil"/>
            </w:tcBorders>
            <w:shd w:val="clear" w:color="auto" w:fill="FFFFFF"/>
            <w:vAlign w:val="center"/>
          </w:tcPr>
          <w:p w:rsidR="004F2996" w:rsidRPr="005F6C3F" w:rsidRDefault="004F2996" w:rsidP="000D4822">
            <w:pPr>
              <w:autoSpaceDE w:val="0"/>
              <w:autoSpaceDN w:val="0"/>
              <w:adjustRightInd w:val="0"/>
              <w:snapToGrid w:val="0"/>
              <w:spacing w:after="0" w:line="240" w:lineRule="auto"/>
              <w:contextualSpacing/>
              <w:jc w:val="center"/>
              <w:rPr>
                <w:rFonts w:ascii="Times New Roman" w:hAnsi="Times New Roman" w:cs="Times New Roman"/>
                <w:color w:val="000000"/>
                <w:sz w:val="20"/>
                <w:szCs w:val="18"/>
              </w:rPr>
            </w:pPr>
            <w:r w:rsidRPr="005F6C3F">
              <w:rPr>
                <w:rFonts w:ascii="Times New Roman" w:hAnsi="Times New Roman" w:cs="Times New Roman"/>
                <w:color w:val="000000"/>
                <w:sz w:val="20"/>
                <w:szCs w:val="18"/>
              </w:rPr>
              <w:t>42,7</w:t>
            </w:r>
          </w:p>
        </w:tc>
        <w:tc>
          <w:tcPr>
            <w:tcW w:w="2615" w:type="dxa"/>
            <w:tcBorders>
              <w:top w:val="nil"/>
              <w:left w:val="nil"/>
              <w:bottom w:val="nil"/>
              <w:right w:val="nil"/>
            </w:tcBorders>
            <w:shd w:val="clear" w:color="auto" w:fill="FFFFFF"/>
            <w:vAlign w:val="center"/>
          </w:tcPr>
          <w:p w:rsidR="004F2996" w:rsidRPr="005F6C3F" w:rsidRDefault="004F2996" w:rsidP="000D4822">
            <w:pPr>
              <w:autoSpaceDE w:val="0"/>
              <w:autoSpaceDN w:val="0"/>
              <w:adjustRightInd w:val="0"/>
              <w:snapToGrid w:val="0"/>
              <w:spacing w:after="0" w:line="240" w:lineRule="auto"/>
              <w:contextualSpacing/>
              <w:jc w:val="center"/>
              <w:rPr>
                <w:rFonts w:ascii="Times New Roman" w:hAnsi="Times New Roman" w:cs="Times New Roman"/>
                <w:color w:val="000000"/>
                <w:sz w:val="20"/>
                <w:szCs w:val="18"/>
              </w:rPr>
            </w:pPr>
            <w:r w:rsidRPr="005F6C3F">
              <w:rPr>
                <w:rFonts w:ascii="Times New Roman" w:hAnsi="Times New Roman" w:cs="Times New Roman"/>
                <w:color w:val="000000"/>
                <w:sz w:val="20"/>
                <w:szCs w:val="18"/>
              </w:rPr>
              <w:t>59,4</w:t>
            </w:r>
          </w:p>
        </w:tc>
      </w:tr>
      <w:tr w:rsidR="004F2996" w:rsidRPr="005F6C3F" w:rsidTr="008F7856">
        <w:trPr>
          <w:cantSplit/>
          <w:jc w:val="center"/>
        </w:trPr>
        <w:tc>
          <w:tcPr>
            <w:tcW w:w="1043" w:type="dxa"/>
            <w:vMerge/>
            <w:tcBorders>
              <w:top w:val="single" w:sz="16" w:space="0" w:color="000000"/>
              <w:left w:val="nil"/>
              <w:bottom w:val="single" w:sz="16" w:space="0" w:color="000000"/>
              <w:right w:val="nil"/>
            </w:tcBorders>
            <w:shd w:val="clear" w:color="auto" w:fill="FFFFFF"/>
            <w:vAlign w:val="center"/>
          </w:tcPr>
          <w:p w:rsidR="004F2996" w:rsidRPr="005F6C3F" w:rsidRDefault="004F2996" w:rsidP="000D4822">
            <w:pPr>
              <w:autoSpaceDE w:val="0"/>
              <w:autoSpaceDN w:val="0"/>
              <w:adjustRightInd w:val="0"/>
              <w:snapToGrid w:val="0"/>
              <w:spacing w:after="0" w:line="240" w:lineRule="auto"/>
              <w:contextualSpacing/>
              <w:jc w:val="center"/>
              <w:rPr>
                <w:rFonts w:ascii="Times New Roman" w:hAnsi="Times New Roman" w:cs="Times New Roman"/>
                <w:color w:val="000000"/>
                <w:sz w:val="20"/>
                <w:szCs w:val="18"/>
              </w:rPr>
            </w:pPr>
          </w:p>
        </w:tc>
        <w:tc>
          <w:tcPr>
            <w:tcW w:w="2581" w:type="dxa"/>
            <w:tcBorders>
              <w:top w:val="nil"/>
              <w:left w:val="nil"/>
              <w:bottom w:val="nil"/>
              <w:right w:val="nil"/>
            </w:tcBorders>
            <w:shd w:val="clear" w:color="auto" w:fill="FFFFFF"/>
            <w:vAlign w:val="center"/>
          </w:tcPr>
          <w:p w:rsidR="004F2996" w:rsidRPr="005F6C3F" w:rsidRDefault="008F7856" w:rsidP="000D4822">
            <w:pPr>
              <w:autoSpaceDE w:val="0"/>
              <w:autoSpaceDN w:val="0"/>
              <w:adjustRightInd w:val="0"/>
              <w:snapToGrid w:val="0"/>
              <w:spacing w:after="0" w:line="240" w:lineRule="auto"/>
              <w:contextualSpacing/>
              <w:jc w:val="center"/>
              <w:rPr>
                <w:rFonts w:ascii="Times New Roman" w:hAnsi="Times New Roman" w:cs="Times New Roman"/>
                <w:color w:val="000000"/>
                <w:sz w:val="20"/>
                <w:szCs w:val="18"/>
              </w:rPr>
            </w:pPr>
            <w:r>
              <w:rPr>
                <w:rFonts w:ascii="Times New Roman" w:hAnsi="Times New Roman" w:cs="Times New Roman"/>
                <w:color w:val="000000"/>
                <w:sz w:val="20"/>
                <w:szCs w:val="18"/>
              </w:rPr>
              <w:t>foarte positiv</w:t>
            </w:r>
          </w:p>
        </w:tc>
        <w:tc>
          <w:tcPr>
            <w:tcW w:w="1408" w:type="dxa"/>
            <w:tcBorders>
              <w:top w:val="nil"/>
              <w:left w:val="nil"/>
              <w:bottom w:val="nil"/>
              <w:right w:val="nil"/>
            </w:tcBorders>
            <w:shd w:val="clear" w:color="auto" w:fill="FFFFFF"/>
            <w:vAlign w:val="center"/>
          </w:tcPr>
          <w:p w:rsidR="004F2996" w:rsidRPr="005F6C3F" w:rsidRDefault="004F2996" w:rsidP="000D4822">
            <w:pPr>
              <w:autoSpaceDE w:val="0"/>
              <w:autoSpaceDN w:val="0"/>
              <w:adjustRightInd w:val="0"/>
              <w:snapToGrid w:val="0"/>
              <w:spacing w:after="0" w:line="240" w:lineRule="auto"/>
              <w:contextualSpacing/>
              <w:jc w:val="center"/>
              <w:rPr>
                <w:rFonts w:ascii="Times New Roman" w:hAnsi="Times New Roman" w:cs="Times New Roman"/>
                <w:color w:val="000000"/>
                <w:sz w:val="20"/>
                <w:szCs w:val="18"/>
              </w:rPr>
            </w:pPr>
            <w:r w:rsidRPr="005F6C3F">
              <w:rPr>
                <w:rFonts w:ascii="Times New Roman" w:hAnsi="Times New Roman" w:cs="Times New Roman"/>
                <w:color w:val="000000"/>
                <w:sz w:val="20"/>
                <w:szCs w:val="18"/>
              </w:rPr>
              <w:t>158</w:t>
            </w:r>
          </w:p>
        </w:tc>
        <w:tc>
          <w:tcPr>
            <w:tcW w:w="1208" w:type="dxa"/>
            <w:tcBorders>
              <w:top w:val="nil"/>
              <w:left w:val="nil"/>
              <w:bottom w:val="nil"/>
              <w:right w:val="nil"/>
            </w:tcBorders>
            <w:shd w:val="clear" w:color="auto" w:fill="FFFFFF"/>
            <w:vAlign w:val="center"/>
          </w:tcPr>
          <w:p w:rsidR="004F2996" w:rsidRPr="005F6C3F" w:rsidRDefault="004F2996" w:rsidP="000D4822">
            <w:pPr>
              <w:autoSpaceDE w:val="0"/>
              <w:autoSpaceDN w:val="0"/>
              <w:adjustRightInd w:val="0"/>
              <w:snapToGrid w:val="0"/>
              <w:spacing w:after="0" w:line="240" w:lineRule="auto"/>
              <w:contextualSpacing/>
              <w:jc w:val="center"/>
              <w:rPr>
                <w:rFonts w:ascii="Times New Roman" w:hAnsi="Times New Roman" w:cs="Times New Roman"/>
                <w:color w:val="000000"/>
                <w:sz w:val="20"/>
                <w:szCs w:val="18"/>
              </w:rPr>
            </w:pPr>
            <w:r w:rsidRPr="005F6C3F">
              <w:rPr>
                <w:rFonts w:ascii="Times New Roman" w:hAnsi="Times New Roman" w:cs="Times New Roman"/>
                <w:color w:val="000000"/>
                <w:sz w:val="20"/>
                <w:szCs w:val="18"/>
              </w:rPr>
              <w:t>40,6</w:t>
            </w:r>
          </w:p>
        </w:tc>
        <w:tc>
          <w:tcPr>
            <w:tcW w:w="1610" w:type="dxa"/>
            <w:tcBorders>
              <w:top w:val="nil"/>
              <w:left w:val="nil"/>
              <w:bottom w:val="nil"/>
              <w:right w:val="nil"/>
            </w:tcBorders>
            <w:shd w:val="clear" w:color="auto" w:fill="FFFFFF"/>
            <w:vAlign w:val="center"/>
          </w:tcPr>
          <w:p w:rsidR="004F2996" w:rsidRPr="005F6C3F" w:rsidRDefault="004F2996" w:rsidP="000D4822">
            <w:pPr>
              <w:autoSpaceDE w:val="0"/>
              <w:autoSpaceDN w:val="0"/>
              <w:adjustRightInd w:val="0"/>
              <w:snapToGrid w:val="0"/>
              <w:spacing w:after="0" w:line="240" w:lineRule="auto"/>
              <w:contextualSpacing/>
              <w:jc w:val="center"/>
              <w:rPr>
                <w:rFonts w:ascii="Times New Roman" w:hAnsi="Times New Roman" w:cs="Times New Roman"/>
                <w:color w:val="000000"/>
                <w:sz w:val="20"/>
                <w:szCs w:val="18"/>
              </w:rPr>
            </w:pPr>
            <w:r w:rsidRPr="005F6C3F">
              <w:rPr>
                <w:rFonts w:ascii="Times New Roman" w:hAnsi="Times New Roman" w:cs="Times New Roman"/>
                <w:color w:val="000000"/>
                <w:sz w:val="20"/>
                <w:szCs w:val="18"/>
              </w:rPr>
              <w:t>40,6</w:t>
            </w:r>
          </w:p>
        </w:tc>
        <w:tc>
          <w:tcPr>
            <w:tcW w:w="2615" w:type="dxa"/>
            <w:tcBorders>
              <w:top w:val="nil"/>
              <w:left w:val="nil"/>
              <w:bottom w:val="nil"/>
              <w:right w:val="nil"/>
            </w:tcBorders>
            <w:shd w:val="clear" w:color="auto" w:fill="FFFFFF"/>
            <w:vAlign w:val="center"/>
          </w:tcPr>
          <w:p w:rsidR="004F2996" w:rsidRPr="005F6C3F" w:rsidRDefault="004F2996" w:rsidP="000D4822">
            <w:pPr>
              <w:autoSpaceDE w:val="0"/>
              <w:autoSpaceDN w:val="0"/>
              <w:adjustRightInd w:val="0"/>
              <w:snapToGrid w:val="0"/>
              <w:spacing w:after="0" w:line="240" w:lineRule="auto"/>
              <w:contextualSpacing/>
              <w:jc w:val="center"/>
              <w:rPr>
                <w:rFonts w:ascii="Times New Roman" w:hAnsi="Times New Roman" w:cs="Times New Roman"/>
                <w:color w:val="000000"/>
                <w:sz w:val="20"/>
                <w:szCs w:val="18"/>
              </w:rPr>
            </w:pPr>
            <w:r w:rsidRPr="005F6C3F">
              <w:rPr>
                <w:rFonts w:ascii="Times New Roman" w:hAnsi="Times New Roman" w:cs="Times New Roman"/>
                <w:color w:val="000000"/>
                <w:sz w:val="20"/>
                <w:szCs w:val="18"/>
              </w:rPr>
              <w:t>100,0</w:t>
            </w:r>
          </w:p>
        </w:tc>
      </w:tr>
      <w:tr w:rsidR="004F2996" w:rsidRPr="005F6C3F" w:rsidTr="008F7856">
        <w:trPr>
          <w:cantSplit/>
          <w:jc w:val="center"/>
        </w:trPr>
        <w:tc>
          <w:tcPr>
            <w:tcW w:w="1043" w:type="dxa"/>
            <w:vMerge/>
            <w:tcBorders>
              <w:top w:val="single" w:sz="16" w:space="0" w:color="000000"/>
              <w:left w:val="nil"/>
              <w:bottom w:val="single" w:sz="8" w:space="0" w:color="auto"/>
              <w:right w:val="nil"/>
            </w:tcBorders>
            <w:shd w:val="clear" w:color="auto" w:fill="FFFFFF"/>
            <w:vAlign w:val="center"/>
          </w:tcPr>
          <w:p w:rsidR="004F2996" w:rsidRPr="005F6C3F" w:rsidRDefault="004F2996" w:rsidP="000D4822">
            <w:pPr>
              <w:autoSpaceDE w:val="0"/>
              <w:autoSpaceDN w:val="0"/>
              <w:adjustRightInd w:val="0"/>
              <w:snapToGrid w:val="0"/>
              <w:spacing w:after="0" w:line="240" w:lineRule="auto"/>
              <w:contextualSpacing/>
              <w:jc w:val="center"/>
              <w:rPr>
                <w:rFonts w:ascii="Times New Roman" w:hAnsi="Times New Roman" w:cs="Times New Roman"/>
                <w:color w:val="000000"/>
                <w:sz w:val="20"/>
                <w:szCs w:val="18"/>
              </w:rPr>
            </w:pPr>
          </w:p>
        </w:tc>
        <w:tc>
          <w:tcPr>
            <w:tcW w:w="2581" w:type="dxa"/>
            <w:tcBorders>
              <w:top w:val="nil"/>
              <w:left w:val="nil"/>
              <w:bottom w:val="single" w:sz="8" w:space="0" w:color="auto"/>
              <w:right w:val="nil"/>
            </w:tcBorders>
            <w:shd w:val="clear" w:color="auto" w:fill="FFFFFF"/>
            <w:vAlign w:val="center"/>
          </w:tcPr>
          <w:p w:rsidR="004F2996" w:rsidRPr="005F6C3F" w:rsidRDefault="004F2996" w:rsidP="000D4822">
            <w:pPr>
              <w:autoSpaceDE w:val="0"/>
              <w:autoSpaceDN w:val="0"/>
              <w:adjustRightInd w:val="0"/>
              <w:snapToGrid w:val="0"/>
              <w:spacing w:after="0" w:line="240" w:lineRule="auto"/>
              <w:contextualSpacing/>
              <w:jc w:val="center"/>
              <w:rPr>
                <w:rFonts w:ascii="Times New Roman" w:hAnsi="Times New Roman" w:cs="Times New Roman"/>
                <w:color w:val="000000"/>
                <w:sz w:val="20"/>
                <w:szCs w:val="18"/>
              </w:rPr>
            </w:pPr>
            <w:r w:rsidRPr="005F6C3F">
              <w:rPr>
                <w:rFonts w:ascii="Times New Roman" w:hAnsi="Times New Roman" w:cs="Times New Roman"/>
                <w:color w:val="000000"/>
                <w:sz w:val="20"/>
                <w:szCs w:val="18"/>
              </w:rPr>
              <w:t>Total</w:t>
            </w:r>
          </w:p>
        </w:tc>
        <w:tc>
          <w:tcPr>
            <w:tcW w:w="1408" w:type="dxa"/>
            <w:tcBorders>
              <w:top w:val="nil"/>
              <w:left w:val="nil"/>
              <w:bottom w:val="single" w:sz="8" w:space="0" w:color="auto"/>
              <w:right w:val="nil"/>
            </w:tcBorders>
            <w:shd w:val="clear" w:color="auto" w:fill="FFFFFF"/>
            <w:vAlign w:val="center"/>
          </w:tcPr>
          <w:p w:rsidR="004F2996" w:rsidRPr="005F6C3F" w:rsidRDefault="004F2996" w:rsidP="000D4822">
            <w:pPr>
              <w:autoSpaceDE w:val="0"/>
              <w:autoSpaceDN w:val="0"/>
              <w:adjustRightInd w:val="0"/>
              <w:snapToGrid w:val="0"/>
              <w:spacing w:after="0" w:line="240" w:lineRule="auto"/>
              <w:contextualSpacing/>
              <w:jc w:val="center"/>
              <w:rPr>
                <w:rFonts w:ascii="Times New Roman" w:hAnsi="Times New Roman" w:cs="Times New Roman"/>
                <w:color w:val="000000"/>
                <w:sz w:val="20"/>
                <w:szCs w:val="18"/>
              </w:rPr>
            </w:pPr>
            <w:r w:rsidRPr="005F6C3F">
              <w:rPr>
                <w:rFonts w:ascii="Times New Roman" w:hAnsi="Times New Roman" w:cs="Times New Roman"/>
                <w:color w:val="000000"/>
                <w:sz w:val="20"/>
                <w:szCs w:val="18"/>
              </w:rPr>
              <w:t>389</w:t>
            </w:r>
          </w:p>
        </w:tc>
        <w:tc>
          <w:tcPr>
            <w:tcW w:w="1208" w:type="dxa"/>
            <w:tcBorders>
              <w:top w:val="nil"/>
              <w:left w:val="nil"/>
              <w:bottom w:val="single" w:sz="8" w:space="0" w:color="auto"/>
              <w:right w:val="nil"/>
            </w:tcBorders>
            <w:shd w:val="clear" w:color="auto" w:fill="FFFFFF"/>
            <w:vAlign w:val="center"/>
          </w:tcPr>
          <w:p w:rsidR="004F2996" w:rsidRPr="005F6C3F" w:rsidRDefault="004F2996" w:rsidP="000D4822">
            <w:pPr>
              <w:autoSpaceDE w:val="0"/>
              <w:autoSpaceDN w:val="0"/>
              <w:adjustRightInd w:val="0"/>
              <w:snapToGrid w:val="0"/>
              <w:spacing w:after="0" w:line="240" w:lineRule="auto"/>
              <w:contextualSpacing/>
              <w:jc w:val="center"/>
              <w:rPr>
                <w:rFonts w:ascii="Times New Roman" w:hAnsi="Times New Roman" w:cs="Times New Roman"/>
                <w:color w:val="000000"/>
                <w:sz w:val="20"/>
                <w:szCs w:val="18"/>
              </w:rPr>
            </w:pPr>
            <w:r w:rsidRPr="005F6C3F">
              <w:rPr>
                <w:rFonts w:ascii="Times New Roman" w:hAnsi="Times New Roman" w:cs="Times New Roman"/>
                <w:color w:val="000000"/>
                <w:sz w:val="20"/>
                <w:szCs w:val="18"/>
              </w:rPr>
              <w:t>100,0</w:t>
            </w:r>
          </w:p>
        </w:tc>
        <w:tc>
          <w:tcPr>
            <w:tcW w:w="1610" w:type="dxa"/>
            <w:tcBorders>
              <w:top w:val="nil"/>
              <w:left w:val="nil"/>
              <w:bottom w:val="single" w:sz="8" w:space="0" w:color="auto"/>
              <w:right w:val="nil"/>
            </w:tcBorders>
            <w:shd w:val="clear" w:color="auto" w:fill="FFFFFF"/>
            <w:vAlign w:val="center"/>
          </w:tcPr>
          <w:p w:rsidR="004F2996" w:rsidRPr="005F6C3F" w:rsidRDefault="004F2996" w:rsidP="000D4822">
            <w:pPr>
              <w:autoSpaceDE w:val="0"/>
              <w:autoSpaceDN w:val="0"/>
              <w:adjustRightInd w:val="0"/>
              <w:snapToGrid w:val="0"/>
              <w:spacing w:after="0" w:line="240" w:lineRule="auto"/>
              <w:contextualSpacing/>
              <w:jc w:val="center"/>
              <w:rPr>
                <w:rFonts w:ascii="Times New Roman" w:hAnsi="Times New Roman" w:cs="Times New Roman"/>
                <w:color w:val="000000"/>
                <w:sz w:val="20"/>
                <w:szCs w:val="18"/>
              </w:rPr>
            </w:pPr>
            <w:r w:rsidRPr="005F6C3F">
              <w:rPr>
                <w:rFonts w:ascii="Times New Roman" w:hAnsi="Times New Roman" w:cs="Times New Roman"/>
                <w:color w:val="000000"/>
                <w:sz w:val="20"/>
                <w:szCs w:val="18"/>
              </w:rPr>
              <w:t>100,0</w:t>
            </w:r>
          </w:p>
        </w:tc>
        <w:tc>
          <w:tcPr>
            <w:tcW w:w="2615" w:type="dxa"/>
            <w:tcBorders>
              <w:top w:val="nil"/>
              <w:left w:val="nil"/>
              <w:bottom w:val="single" w:sz="8" w:space="0" w:color="auto"/>
              <w:right w:val="nil"/>
            </w:tcBorders>
            <w:shd w:val="clear" w:color="auto" w:fill="FFFFFF"/>
            <w:vAlign w:val="center"/>
          </w:tcPr>
          <w:p w:rsidR="004F2996" w:rsidRPr="005F6C3F" w:rsidRDefault="004F2996" w:rsidP="000D4822">
            <w:pPr>
              <w:autoSpaceDE w:val="0"/>
              <w:autoSpaceDN w:val="0"/>
              <w:adjustRightInd w:val="0"/>
              <w:snapToGrid w:val="0"/>
              <w:spacing w:after="0" w:line="240" w:lineRule="auto"/>
              <w:contextualSpacing/>
              <w:jc w:val="center"/>
              <w:rPr>
                <w:rFonts w:ascii="Times New Roman" w:hAnsi="Times New Roman" w:cs="Times New Roman"/>
                <w:sz w:val="20"/>
                <w:szCs w:val="24"/>
              </w:rPr>
            </w:pPr>
          </w:p>
        </w:tc>
      </w:tr>
    </w:tbl>
    <w:p w:rsidR="008F7856" w:rsidRPr="001334D4" w:rsidRDefault="008F7856" w:rsidP="008F7856">
      <w:pPr>
        <w:pStyle w:val="Default"/>
        <w:spacing w:line="360" w:lineRule="auto"/>
        <w:rPr>
          <w:rFonts w:ascii="Times New Roman" w:hAnsi="Times New Roman" w:cs="Times New Roman"/>
        </w:rPr>
      </w:pPr>
      <w:r w:rsidRPr="001334D4">
        <w:rPr>
          <w:rFonts w:ascii="Times New Roman" w:hAnsi="Times New Roman" w:cs="Times New Roman"/>
        </w:rPr>
        <w:t xml:space="preserve">Figura 1. Distribuția frecvențelor privind </w:t>
      </w:r>
      <w:proofErr w:type="gramStart"/>
      <w:r w:rsidRPr="001334D4">
        <w:rPr>
          <w:rFonts w:ascii="Times New Roman" w:hAnsi="Times New Roman" w:cs="Times New Roman"/>
        </w:rPr>
        <w:t>atitudinea  fa</w:t>
      </w:r>
      <w:proofErr w:type="gramEnd"/>
      <w:r w:rsidRPr="001334D4">
        <w:rPr>
          <w:rFonts w:ascii="Times New Roman" w:hAnsi="Times New Roman" w:cs="Times New Roman"/>
        </w:rPr>
        <w:t>ță de îmbunătățirea performanței energetice și reducerea amprentei de carbon.</w:t>
      </w:r>
    </w:p>
    <w:p w:rsidR="004F2996" w:rsidRPr="001334D4" w:rsidRDefault="009A3D98" w:rsidP="004F2996">
      <w:pPr>
        <w:adjustRightInd w:val="0"/>
        <w:snapToGrid w:val="0"/>
        <w:jc w:val="both"/>
        <w:rPr>
          <w:rFonts w:ascii="Times New Roman" w:hAnsi="Times New Roman" w:cs="Times New Roman"/>
          <w:i/>
          <w:sz w:val="24"/>
          <w:szCs w:val="24"/>
        </w:rPr>
      </w:pPr>
      <w:r w:rsidRPr="001334D4">
        <w:rPr>
          <w:rFonts w:ascii="Times New Roman" w:hAnsi="Times New Roman" w:cs="Times New Roman"/>
          <w:i/>
          <w:sz w:val="24"/>
          <w:szCs w:val="24"/>
        </w:rPr>
        <w:t>S</w:t>
      </w:r>
      <w:r w:rsidR="004F2996" w:rsidRPr="001334D4">
        <w:rPr>
          <w:rFonts w:ascii="Times New Roman" w:hAnsi="Times New Roman" w:cs="Times New Roman"/>
          <w:i/>
          <w:sz w:val="24"/>
          <w:szCs w:val="24"/>
        </w:rPr>
        <w:t>ur</w:t>
      </w:r>
      <w:r w:rsidRPr="001334D4">
        <w:rPr>
          <w:rFonts w:ascii="Times New Roman" w:hAnsi="Times New Roman" w:cs="Times New Roman"/>
          <w:i/>
          <w:sz w:val="24"/>
          <w:szCs w:val="24"/>
        </w:rPr>
        <w:t>să</w:t>
      </w:r>
      <w:r w:rsidR="004F2996" w:rsidRPr="001334D4">
        <w:rPr>
          <w:rFonts w:ascii="Times New Roman" w:hAnsi="Times New Roman" w:cs="Times New Roman"/>
          <w:i/>
          <w:sz w:val="24"/>
          <w:szCs w:val="24"/>
        </w:rPr>
        <w:t xml:space="preserve">: </w:t>
      </w:r>
      <w:r w:rsidRPr="001334D4">
        <w:rPr>
          <w:rFonts w:ascii="Times New Roman" w:hAnsi="Times New Roman" w:cs="Times New Roman"/>
          <w:i/>
          <w:sz w:val="24"/>
          <w:szCs w:val="24"/>
        </w:rPr>
        <w:t xml:space="preserve">date prelucrate de </w:t>
      </w:r>
      <w:r w:rsidR="004F2996" w:rsidRPr="001334D4">
        <w:rPr>
          <w:rFonts w:ascii="Times New Roman" w:hAnsi="Times New Roman" w:cs="Times New Roman"/>
          <w:i/>
          <w:sz w:val="24"/>
          <w:szCs w:val="24"/>
        </w:rPr>
        <w:t>autor</w:t>
      </w:r>
      <w:r w:rsidRPr="001334D4">
        <w:rPr>
          <w:rFonts w:ascii="Times New Roman" w:hAnsi="Times New Roman" w:cs="Times New Roman"/>
          <w:i/>
          <w:sz w:val="24"/>
          <w:szCs w:val="24"/>
        </w:rPr>
        <w:t xml:space="preserve">i </w:t>
      </w:r>
      <w:r w:rsidR="004F2996" w:rsidRPr="001334D4">
        <w:rPr>
          <w:rFonts w:ascii="Times New Roman" w:hAnsi="Times New Roman" w:cs="Times New Roman"/>
          <w:i/>
          <w:sz w:val="24"/>
          <w:szCs w:val="24"/>
        </w:rPr>
        <w:t xml:space="preserve"> </w:t>
      </w:r>
    </w:p>
    <w:p w:rsidR="004F2996" w:rsidRPr="001341F7" w:rsidRDefault="001334D4" w:rsidP="001334D4">
      <w:pPr>
        <w:pStyle w:val="Default"/>
        <w:spacing w:line="360" w:lineRule="auto"/>
        <w:ind w:firstLine="720"/>
        <w:jc w:val="both"/>
        <w:rPr>
          <w:rFonts w:ascii="Times New Roman" w:hAnsi="Times New Roman" w:cs="Times New Roman"/>
          <w:color w:val="auto"/>
        </w:rPr>
      </w:pPr>
      <w:r w:rsidRPr="001341F7">
        <w:rPr>
          <w:rFonts w:ascii="Times New Roman" w:hAnsi="Times New Roman" w:cs="Times New Roman"/>
          <w:color w:val="auto"/>
        </w:rPr>
        <w:t>Pentru a identifica și evidenția factorii care ar putea influența atitudinea respondenților față de utilizarea energiei verzi și față de decarbonizare, a fost realizată o analiză factorială bazată pe metoda de analizei în componente principale (</w:t>
      </w:r>
      <w:r w:rsidRPr="001341F7">
        <w:rPr>
          <w:rStyle w:val="Emphasis"/>
          <w:rFonts w:ascii="Times New Roman" w:hAnsi="Times New Roman" w:cs="Times New Roman"/>
          <w:bCs/>
          <w:i w:val="0"/>
          <w:iCs w:val="0"/>
          <w:color w:val="auto"/>
          <w:shd w:val="clear" w:color="auto" w:fill="FFFFFF"/>
        </w:rPr>
        <w:t>Principal Component Analysis PCA)</w:t>
      </w:r>
      <w:r w:rsidR="001341F7" w:rsidRPr="001341F7">
        <w:rPr>
          <w:rStyle w:val="Emphasis"/>
          <w:rFonts w:ascii="Times New Roman" w:hAnsi="Times New Roman" w:cs="Times New Roman"/>
          <w:bCs/>
          <w:i w:val="0"/>
          <w:iCs w:val="0"/>
          <w:color w:val="auto"/>
          <w:shd w:val="clear" w:color="auto" w:fill="FFFFFF"/>
        </w:rPr>
        <w:t>, metoda de rotați</w:t>
      </w:r>
      <w:r w:rsidRPr="001341F7">
        <w:rPr>
          <w:rStyle w:val="Emphasis"/>
          <w:rFonts w:ascii="Times New Roman" w:hAnsi="Times New Roman" w:cs="Times New Roman"/>
          <w:bCs/>
          <w:i w:val="0"/>
          <w:iCs w:val="0"/>
          <w:color w:val="auto"/>
          <w:shd w:val="clear" w:color="auto" w:fill="FFFFFF"/>
        </w:rPr>
        <w:t xml:space="preserve">e </w:t>
      </w:r>
      <w:r w:rsidRPr="001341F7">
        <w:rPr>
          <w:rFonts w:ascii="Times New Roman" w:hAnsi="Times New Roman" w:cs="Times New Roman"/>
          <w:color w:val="auto"/>
        </w:rPr>
        <w:t>cu normalizare Kaiser.</w:t>
      </w:r>
    </w:p>
    <w:p w:rsidR="001341F7" w:rsidRDefault="001341F7" w:rsidP="001334D4">
      <w:pPr>
        <w:pStyle w:val="Default"/>
        <w:spacing w:line="360" w:lineRule="auto"/>
        <w:ind w:firstLine="720"/>
        <w:jc w:val="both"/>
        <w:rPr>
          <w:rFonts w:ascii="Times New Roman" w:hAnsi="Times New Roman" w:cs="Times New Roman"/>
        </w:rPr>
      </w:pPr>
      <w:r w:rsidRPr="001341F7">
        <w:rPr>
          <w:rFonts w:ascii="Times New Roman" w:hAnsi="Times New Roman" w:cs="Times New Roman"/>
        </w:rPr>
        <w:t xml:space="preserve">În cazul cercetării de față </w:t>
      </w:r>
      <w:r>
        <w:rPr>
          <w:rFonts w:ascii="Times New Roman" w:hAnsi="Times New Roman" w:cs="Times New Roman"/>
        </w:rPr>
        <w:t xml:space="preserve">am </w:t>
      </w:r>
      <w:r w:rsidRPr="001341F7">
        <w:rPr>
          <w:rFonts w:ascii="Times New Roman" w:hAnsi="Times New Roman" w:cs="Times New Roman"/>
        </w:rPr>
        <w:t>dori</w:t>
      </w:r>
      <w:r>
        <w:rPr>
          <w:rFonts w:ascii="Times New Roman" w:hAnsi="Times New Roman" w:cs="Times New Roman"/>
        </w:rPr>
        <w:t>t</w:t>
      </w:r>
      <w:r w:rsidRPr="001341F7">
        <w:rPr>
          <w:rFonts w:ascii="Times New Roman" w:hAnsi="Times New Roman" w:cs="Times New Roman"/>
        </w:rPr>
        <w:t xml:space="preserve"> să descoperim </w:t>
      </w:r>
      <w:r>
        <w:rPr>
          <w:rFonts w:ascii="Times New Roman" w:hAnsi="Times New Roman" w:cs="Times New Roman"/>
        </w:rPr>
        <w:t>care sunt</w:t>
      </w:r>
      <w:r w:rsidRPr="001341F7">
        <w:rPr>
          <w:rFonts w:ascii="Times New Roman" w:hAnsi="Times New Roman" w:cs="Times New Roman"/>
        </w:rPr>
        <w:t xml:space="preserve"> idei</w:t>
      </w:r>
      <w:r>
        <w:rPr>
          <w:rFonts w:ascii="Times New Roman" w:hAnsi="Times New Roman" w:cs="Times New Roman"/>
        </w:rPr>
        <w:t>le</w:t>
      </w:r>
      <w:r w:rsidRPr="001341F7">
        <w:rPr>
          <w:rFonts w:ascii="Times New Roman" w:hAnsi="Times New Roman" w:cs="Times New Roman"/>
        </w:rPr>
        <w:t xml:space="preserve"> principale (variabile latente) </w:t>
      </w:r>
      <w:r>
        <w:rPr>
          <w:rFonts w:ascii="Times New Roman" w:hAnsi="Times New Roman" w:cs="Times New Roman"/>
        </w:rPr>
        <w:t>generate de cei</w:t>
      </w:r>
      <w:r w:rsidRPr="001341F7">
        <w:rPr>
          <w:rFonts w:ascii="Times New Roman" w:hAnsi="Times New Roman" w:cs="Times New Roman"/>
        </w:rPr>
        <w:t xml:space="preserve"> 27 de itemi ai chestionarului </w:t>
      </w:r>
      <w:r>
        <w:rPr>
          <w:rFonts w:ascii="Times New Roman" w:hAnsi="Times New Roman" w:cs="Times New Roman"/>
        </w:rPr>
        <w:t xml:space="preserve">referitor la </w:t>
      </w:r>
      <w:r w:rsidRPr="001341F7">
        <w:rPr>
          <w:rFonts w:ascii="Times New Roman" w:hAnsi="Times New Roman" w:cs="Times New Roman"/>
        </w:rPr>
        <w:t xml:space="preserve">atitudini și percepții legate de </w:t>
      </w:r>
      <w:r w:rsidRPr="001341F7">
        <w:rPr>
          <w:rFonts w:ascii="Times New Roman" w:hAnsi="Times New Roman" w:cs="Times New Roman"/>
        </w:rPr>
        <w:lastRenderedPageBreak/>
        <w:t xml:space="preserve">sursele </w:t>
      </w:r>
      <w:r>
        <w:rPr>
          <w:rFonts w:ascii="Times New Roman" w:hAnsi="Times New Roman" w:cs="Times New Roman"/>
        </w:rPr>
        <w:t>regenerabile</w:t>
      </w:r>
      <w:r w:rsidRPr="001341F7">
        <w:rPr>
          <w:rFonts w:ascii="Times New Roman" w:hAnsi="Times New Roman" w:cs="Times New Roman"/>
        </w:rPr>
        <w:t xml:space="preserve"> de energie și reducerea amprentei de carbon, itemi măsurați pe scara Likert de la 1 la 5</w:t>
      </w:r>
      <w:r>
        <w:rPr>
          <w:rFonts w:ascii="Times New Roman" w:hAnsi="Times New Roman" w:cs="Times New Roman"/>
        </w:rPr>
        <w:t>.</w:t>
      </w:r>
      <w:r w:rsidR="00AC129C">
        <w:rPr>
          <w:rFonts w:ascii="Times New Roman" w:hAnsi="Times New Roman" w:cs="Times New Roman"/>
        </w:rPr>
        <w:t xml:space="preserve"> S-a </w:t>
      </w:r>
      <w:r w:rsidR="00AC129C" w:rsidRPr="00AC129C">
        <w:rPr>
          <w:rFonts w:ascii="Times New Roman" w:hAnsi="Times New Roman" w:cs="Times New Roman"/>
        </w:rPr>
        <w:t>folosit analiza componentelor principale (PCA) care reduce numărul de variabile prin transformarea variabilelor originale într-un nou set de variabile necorelate care sunt numite componente principale.</w:t>
      </w:r>
      <w:r w:rsidR="00AC129C">
        <w:rPr>
          <w:rFonts w:ascii="Times New Roman" w:hAnsi="Times New Roman" w:cs="Times New Roman"/>
        </w:rPr>
        <w:t xml:space="preserve"> </w:t>
      </w:r>
      <w:r w:rsidR="00DA751A" w:rsidRPr="00DA751A">
        <w:rPr>
          <w:rFonts w:ascii="Times New Roman" w:hAnsi="Times New Roman" w:cs="Times New Roman"/>
        </w:rPr>
        <w:t xml:space="preserve">În cazul nostru, cei </w:t>
      </w:r>
      <w:r w:rsidR="00DA751A">
        <w:rPr>
          <w:rFonts w:ascii="Times New Roman" w:hAnsi="Times New Roman" w:cs="Times New Roman"/>
        </w:rPr>
        <w:t>șase</w:t>
      </w:r>
      <w:r w:rsidR="00DA751A" w:rsidRPr="00DA751A">
        <w:rPr>
          <w:rFonts w:ascii="Times New Roman" w:hAnsi="Times New Roman" w:cs="Times New Roman"/>
        </w:rPr>
        <w:t xml:space="preserve"> factori rezultați au fost salvați ca scoruri ale factorilor și utilizați mai departe într-un model de regresie multiplă.</w:t>
      </w:r>
    </w:p>
    <w:p w:rsidR="001523D5" w:rsidRPr="001334D4" w:rsidRDefault="001523D5" w:rsidP="001334D4">
      <w:pPr>
        <w:pStyle w:val="Default"/>
        <w:spacing w:line="360" w:lineRule="auto"/>
        <w:ind w:firstLine="720"/>
        <w:jc w:val="both"/>
        <w:rPr>
          <w:rFonts w:ascii="Times New Roman" w:hAnsi="Times New Roman" w:cs="Times New Roman"/>
        </w:rPr>
      </w:pPr>
      <w:r w:rsidRPr="001523D5">
        <w:rPr>
          <w:rFonts w:ascii="Times New Roman" w:hAnsi="Times New Roman" w:cs="Times New Roman"/>
        </w:rPr>
        <w:t xml:space="preserve">Analizând elementele subiacente, primul factor </w:t>
      </w:r>
      <w:r>
        <w:rPr>
          <w:rFonts w:ascii="Times New Roman" w:hAnsi="Times New Roman" w:cs="Times New Roman"/>
        </w:rPr>
        <w:t>a fost de</w:t>
      </w:r>
      <w:r w:rsidRPr="001523D5">
        <w:rPr>
          <w:rFonts w:ascii="Times New Roman" w:hAnsi="Times New Roman" w:cs="Times New Roman"/>
        </w:rPr>
        <w:t>numit PCA 1- Informații.</w:t>
      </w:r>
      <w:r w:rsidR="00F57CF6">
        <w:rPr>
          <w:rFonts w:ascii="Times New Roman" w:hAnsi="Times New Roman" w:cs="Times New Roman"/>
        </w:rPr>
        <w:t xml:space="preserve"> Acesta </w:t>
      </w:r>
      <w:r w:rsidR="00F57CF6" w:rsidRPr="00F57CF6">
        <w:rPr>
          <w:rFonts w:ascii="Times New Roman" w:hAnsi="Times New Roman" w:cs="Times New Roman"/>
        </w:rPr>
        <w:t>se referă la diverse tipuri de informații necesare respondenților pentru a lua în considerare înlocuirea actualelor sisteme de încălzire și aer condiționat cu tehnologii moderne integrate bazate pe pompe de căldură, stocare a energiei termice și sisteme de control inteligente: informații despre reglementările legale în vigoare, informații despre diverse categorii de costuri și potențiale economii, informații tehnice, informații despre furnizori și performanțe îmbunătățite legate de impactul asupra mediului al pompelor de căldură.</w:t>
      </w:r>
    </w:p>
    <w:p w:rsidR="001334D4" w:rsidRDefault="007A3BE4" w:rsidP="007A3BE4">
      <w:pPr>
        <w:pStyle w:val="Default"/>
        <w:spacing w:line="360" w:lineRule="auto"/>
        <w:ind w:firstLine="720"/>
        <w:jc w:val="both"/>
        <w:rPr>
          <w:rFonts w:ascii="Times New Roman" w:hAnsi="Times New Roman" w:cs="Times New Roman"/>
        </w:rPr>
      </w:pPr>
      <w:r w:rsidRPr="007A3BE4">
        <w:rPr>
          <w:rFonts w:ascii="Times New Roman" w:hAnsi="Times New Roman" w:cs="Times New Roman"/>
        </w:rPr>
        <w:t xml:space="preserve">Al doilea factor reprezintă măsurile moderne necesare pentru îmbunătățirea eficienței energetice și reducerea amprentei de carbon, cum ar fi </w:t>
      </w:r>
      <w:r>
        <w:rPr>
          <w:rFonts w:ascii="Times New Roman" w:hAnsi="Times New Roman" w:cs="Times New Roman"/>
        </w:rPr>
        <w:t>î</w:t>
      </w:r>
      <w:r w:rsidRPr="007A3BE4">
        <w:rPr>
          <w:rFonts w:ascii="Times New Roman" w:hAnsi="Times New Roman" w:cs="Times New Roman"/>
        </w:rPr>
        <w:t xml:space="preserve">nlocuirea echipamentelor de încălzire și a echipamentelor de aer condiționat pentru răcire cu pompe de căldură, </w:t>
      </w:r>
      <w:r>
        <w:rPr>
          <w:rFonts w:ascii="Times New Roman" w:hAnsi="Times New Roman" w:cs="Times New Roman"/>
        </w:rPr>
        <w:t>e</w:t>
      </w:r>
      <w:r w:rsidRPr="007A3BE4">
        <w:rPr>
          <w:rFonts w:ascii="Times New Roman" w:hAnsi="Times New Roman" w:cs="Times New Roman"/>
        </w:rPr>
        <w:t>nergie stoca</w:t>
      </w:r>
      <w:r>
        <w:rPr>
          <w:rFonts w:ascii="Times New Roman" w:hAnsi="Times New Roman" w:cs="Times New Roman"/>
        </w:rPr>
        <w:t>tă</w:t>
      </w:r>
      <w:r w:rsidRPr="007A3BE4">
        <w:rPr>
          <w:rFonts w:ascii="Times New Roman" w:hAnsi="Times New Roman" w:cs="Times New Roman"/>
        </w:rPr>
        <w:t xml:space="preserve"> cu baterii, </w:t>
      </w:r>
      <w:r>
        <w:rPr>
          <w:rFonts w:ascii="Times New Roman" w:hAnsi="Times New Roman" w:cs="Times New Roman"/>
        </w:rPr>
        <w:t>p</w:t>
      </w:r>
      <w:r w:rsidRPr="007A3BE4">
        <w:rPr>
          <w:rFonts w:ascii="Times New Roman" w:hAnsi="Times New Roman" w:cs="Times New Roman"/>
        </w:rPr>
        <w:t>roducerea energiei</w:t>
      </w:r>
      <w:r>
        <w:rPr>
          <w:rFonts w:ascii="Times New Roman" w:hAnsi="Times New Roman" w:cs="Times New Roman"/>
        </w:rPr>
        <w:t xml:space="preserve"> electrice</w:t>
      </w:r>
      <w:r w:rsidRPr="007A3BE4">
        <w:rPr>
          <w:rFonts w:ascii="Times New Roman" w:hAnsi="Times New Roman" w:cs="Times New Roman"/>
        </w:rPr>
        <w:t xml:space="preserve"> cu panouri fotovoltaice și introducerea sistemelor inteligente de monitorizare și control, </w:t>
      </w:r>
      <w:r>
        <w:rPr>
          <w:rFonts w:ascii="Times New Roman" w:hAnsi="Times New Roman" w:cs="Times New Roman"/>
        </w:rPr>
        <w:t>i</w:t>
      </w:r>
      <w:r w:rsidRPr="007A3BE4">
        <w:rPr>
          <w:rFonts w:ascii="Times New Roman" w:hAnsi="Times New Roman" w:cs="Times New Roman"/>
        </w:rPr>
        <w:t>mplementarea unui program național de finanțare pentru înlocuirea sistemelor de încălzire actuale cu altele mai eficiente precum cea mai recentă generație de pompe de căldură. Prin urmare, al doilea factor se numește PCA 2- Măsuri moderne pentru îmbunătățirea eficienței energetice.</w:t>
      </w:r>
    </w:p>
    <w:p w:rsidR="0047288B" w:rsidRDefault="003A35B2" w:rsidP="007A3BE4">
      <w:pPr>
        <w:pStyle w:val="Default"/>
        <w:spacing w:line="360" w:lineRule="auto"/>
        <w:ind w:firstLine="720"/>
        <w:jc w:val="both"/>
        <w:rPr>
          <w:rFonts w:ascii="Times New Roman" w:hAnsi="Times New Roman" w:cs="Times New Roman"/>
        </w:rPr>
      </w:pPr>
      <w:r>
        <w:rPr>
          <w:rFonts w:ascii="Times New Roman" w:hAnsi="Times New Roman" w:cs="Times New Roman"/>
        </w:rPr>
        <w:t xml:space="preserve">Al treilea factor conține: </w:t>
      </w:r>
      <w:r w:rsidRPr="003A35B2">
        <w:rPr>
          <w:rFonts w:ascii="Times New Roman" w:hAnsi="Times New Roman" w:cs="Times New Roman"/>
        </w:rPr>
        <w:t xml:space="preserve">„Facilități pentru educarea și formarea cetățenilor în domeniul managementului energetic”, „Reglementări fiscale (deduceri fiscale, stimulente etc.) pentru stimularea reducerii consumului de energie și/sau a emisiilor de carbon”, „Planuri/strategii la nivelul asociația de proprietari/administrația locală pentru gestionarea consumului de energie pe termen mediu și lung”, „Diverse surse de finanțare (fonduri europene, administrație publică locală, buget de stat, fonduri de investiții private etc.) pentru pompe de căldură, stocare de energie termică; sisteme de control inteligente”, „Disponibilitatea </w:t>
      </w:r>
      <w:r w:rsidR="00D808EC">
        <w:rPr>
          <w:rFonts w:ascii="Times New Roman" w:hAnsi="Times New Roman" w:cs="Times New Roman"/>
        </w:rPr>
        <w:t>consumatorilor</w:t>
      </w:r>
      <w:r w:rsidRPr="003A35B2">
        <w:rPr>
          <w:rFonts w:ascii="Times New Roman" w:hAnsi="Times New Roman" w:cs="Times New Roman"/>
        </w:rPr>
        <w:t xml:space="preserve"> pentru înființare</w:t>
      </w:r>
      <w:r w:rsidR="00D808EC">
        <w:rPr>
          <w:rFonts w:ascii="Times New Roman" w:hAnsi="Times New Roman" w:cs="Times New Roman"/>
        </w:rPr>
        <w:t>a</w:t>
      </w:r>
      <w:r w:rsidRPr="003A35B2">
        <w:rPr>
          <w:rFonts w:ascii="Times New Roman" w:hAnsi="Times New Roman" w:cs="Times New Roman"/>
        </w:rPr>
        <w:t>/asociere</w:t>
      </w:r>
      <w:r w:rsidR="00D808EC">
        <w:rPr>
          <w:rFonts w:ascii="Times New Roman" w:hAnsi="Times New Roman" w:cs="Times New Roman"/>
        </w:rPr>
        <w:t>a</w:t>
      </w:r>
      <w:r w:rsidRPr="003A35B2">
        <w:rPr>
          <w:rFonts w:ascii="Times New Roman" w:hAnsi="Times New Roman" w:cs="Times New Roman"/>
        </w:rPr>
        <w:t xml:space="preserve"> voluntară într-o comunitate energetică a cetățenilor” </w:t>
      </w:r>
      <w:r w:rsidR="00D808EC">
        <w:rPr>
          <w:rFonts w:ascii="Times New Roman" w:hAnsi="Times New Roman" w:cs="Times New Roman"/>
        </w:rPr>
        <w:t>și este notat cu</w:t>
      </w:r>
      <w:r w:rsidRPr="003A35B2">
        <w:rPr>
          <w:rFonts w:ascii="Times New Roman" w:hAnsi="Times New Roman" w:cs="Times New Roman"/>
        </w:rPr>
        <w:t xml:space="preserve"> PCA 3 – M</w:t>
      </w:r>
      <w:r w:rsidR="007969CB">
        <w:rPr>
          <w:rFonts w:ascii="Times New Roman" w:hAnsi="Times New Roman" w:cs="Times New Roman"/>
        </w:rPr>
        <w:t>otive</w:t>
      </w:r>
      <w:r w:rsidRPr="003A35B2">
        <w:rPr>
          <w:rFonts w:ascii="Times New Roman" w:hAnsi="Times New Roman" w:cs="Times New Roman"/>
        </w:rPr>
        <w:t xml:space="preserve"> pentru îmbunătățirea eficienței energetice.</w:t>
      </w:r>
    </w:p>
    <w:p w:rsidR="00D808EC" w:rsidRPr="00795BC9" w:rsidRDefault="00033E90" w:rsidP="00795BC9">
      <w:pPr>
        <w:pStyle w:val="Default"/>
        <w:spacing w:line="360" w:lineRule="auto"/>
        <w:ind w:firstLine="720"/>
        <w:jc w:val="both"/>
        <w:rPr>
          <w:rFonts w:ascii="Times New Roman" w:hAnsi="Times New Roman" w:cs="Times New Roman"/>
        </w:rPr>
      </w:pPr>
      <w:r w:rsidRPr="00033E90">
        <w:rPr>
          <w:rFonts w:ascii="Times New Roman" w:hAnsi="Times New Roman" w:cs="Times New Roman"/>
        </w:rPr>
        <w:t xml:space="preserve">Al patrulea factor </w:t>
      </w:r>
      <w:proofErr w:type="gramStart"/>
      <w:r w:rsidRPr="00033E90">
        <w:rPr>
          <w:rFonts w:ascii="Times New Roman" w:hAnsi="Times New Roman" w:cs="Times New Roman"/>
        </w:rPr>
        <w:t>este</w:t>
      </w:r>
      <w:proofErr w:type="gramEnd"/>
      <w:r w:rsidRPr="00033E90">
        <w:rPr>
          <w:rFonts w:ascii="Times New Roman" w:hAnsi="Times New Roman" w:cs="Times New Roman"/>
        </w:rPr>
        <w:t xml:space="preserve"> asociat cu elemente negative, precum „Lipsa specialiștilor în domeniul energetic”, „Lipsa de conștientizare și educație a consumatorilor în domeniul energetic”, </w:t>
      </w:r>
      <w:r w:rsidRPr="00795BC9">
        <w:rPr>
          <w:rFonts w:ascii="Times New Roman" w:hAnsi="Times New Roman" w:cs="Times New Roman"/>
        </w:rPr>
        <w:lastRenderedPageBreak/>
        <w:t xml:space="preserve">„Infrastructură slabă pentru distribuția energiei” și „Lipsa finanțării”. Prin urmare, aceste elemente sugerează obstacole în calea îmbunătățirii performanței energetice și a reducerii amprentei de carbon. În consecință, acest factor </w:t>
      </w:r>
      <w:proofErr w:type="gramStart"/>
      <w:r w:rsidRPr="00795BC9">
        <w:rPr>
          <w:rFonts w:ascii="Times New Roman" w:hAnsi="Times New Roman" w:cs="Times New Roman"/>
        </w:rPr>
        <w:t>este</w:t>
      </w:r>
      <w:proofErr w:type="gramEnd"/>
      <w:r w:rsidRPr="00795BC9">
        <w:rPr>
          <w:rFonts w:ascii="Times New Roman" w:hAnsi="Times New Roman" w:cs="Times New Roman"/>
        </w:rPr>
        <w:t xml:space="preserve"> etichetat cu PCA 4- Obstacole împotriva îmbunătățirii eficienței energetice.</w:t>
      </w:r>
    </w:p>
    <w:p w:rsidR="00CF5B94" w:rsidRPr="00795BC9" w:rsidRDefault="00CF5B94" w:rsidP="00795BC9">
      <w:pPr>
        <w:pStyle w:val="Default"/>
        <w:spacing w:line="360" w:lineRule="auto"/>
        <w:ind w:firstLine="720"/>
        <w:jc w:val="both"/>
        <w:rPr>
          <w:rFonts w:ascii="Times New Roman" w:hAnsi="Times New Roman" w:cs="Times New Roman"/>
        </w:rPr>
      </w:pPr>
      <w:r w:rsidRPr="00795BC9">
        <w:rPr>
          <w:rFonts w:ascii="Times New Roman" w:hAnsi="Times New Roman" w:cs="Times New Roman"/>
        </w:rPr>
        <w:t>Cel de-al cincilea factor PCA5 Birocrație și legislație, conține trei subfactori toți cu o conotație negative pentru îmbunătățirii performanței energetice și a reducerii amprentei de carbon: birocrație, legisțație insuficiență sau neclară și lipsa facilităților fiscal.</w:t>
      </w:r>
    </w:p>
    <w:p w:rsidR="00DA751A" w:rsidRDefault="00795BC9" w:rsidP="00795BC9">
      <w:pPr>
        <w:pStyle w:val="Default"/>
        <w:spacing w:line="360" w:lineRule="auto"/>
        <w:ind w:firstLine="720"/>
        <w:jc w:val="both"/>
        <w:rPr>
          <w:rFonts w:ascii="Times New Roman" w:hAnsi="Times New Roman" w:cs="Times New Roman"/>
        </w:rPr>
      </w:pPr>
      <w:r w:rsidRPr="00795BC9">
        <w:rPr>
          <w:rFonts w:ascii="Times New Roman" w:hAnsi="Times New Roman" w:cs="Times New Roman"/>
        </w:rPr>
        <w:t xml:space="preserve">Ultimul factor, PCA6- Măsuri tradiționale de îmbunătățire a eficienței energetice conține cele mai cunoscute și aplicate măsuri pentru îmbunătățirea eficienței energetice în România și anume „Înlocuirea ferestrelor și ușilor exterioare care nu au termoizolație” și „ Izolarea suprafeței exterioare a clădirilor”. În ultimul deceniu, în majoritatea regiunilor României au fost implementate programe subvenționate de către autoritățile de stat/locale menite </w:t>
      </w:r>
      <w:proofErr w:type="gramStart"/>
      <w:r w:rsidRPr="00795BC9">
        <w:rPr>
          <w:rFonts w:ascii="Times New Roman" w:hAnsi="Times New Roman" w:cs="Times New Roman"/>
        </w:rPr>
        <w:t>să</w:t>
      </w:r>
      <w:proofErr w:type="gramEnd"/>
      <w:r w:rsidRPr="00795BC9">
        <w:rPr>
          <w:rFonts w:ascii="Times New Roman" w:hAnsi="Times New Roman" w:cs="Times New Roman"/>
        </w:rPr>
        <w:t xml:space="preserve"> îmbunătățească izolația termică a clădirilor.</w:t>
      </w:r>
    </w:p>
    <w:p w:rsidR="006B678B" w:rsidRDefault="006B678B" w:rsidP="00795BC9">
      <w:pPr>
        <w:pStyle w:val="Default"/>
        <w:spacing w:line="360" w:lineRule="auto"/>
        <w:ind w:firstLine="720"/>
        <w:jc w:val="both"/>
        <w:rPr>
          <w:rFonts w:ascii="Times New Roman" w:hAnsi="Times New Roman" w:cs="Times New Roman"/>
        </w:rPr>
      </w:pPr>
      <w:r w:rsidRPr="006B678B">
        <w:rPr>
          <w:rFonts w:ascii="Times New Roman" w:hAnsi="Times New Roman" w:cs="Times New Roman"/>
        </w:rPr>
        <w:t>Prin reducerea celor 27 de itemi din chestionar la o dimensiune bazată pe doar șase factori, cele șase componente principale prezentate mai sus au reprezentat 62</w:t>
      </w:r>
      <w:proofErr w:type="gramStart"/>
      <w:r w:rsidRPr="006B678B">
        <w:rPr>
          <w:rFonts w:ascii="Times New Roman" w:hAnsi="Times New Roman" w:cs="Times New Roman"/>
        </w:rPr>
        <w:t>,56</w:t>
      </w:r>
      <w:proofErr w:type="gramEnd"/>
      <w:r w:rsidRPr="006B678B">
        <w:rPr>
          <w:rFonts w:ascii="Times New Roman" w:hAnsi="Times New Roman" w:cs="Times New Roman"/>
        </w:rPr>
        <w:t xml:space="preserve"> % din varianța totală a setului inițial de date.</w:t>
      </w:r>
    </w:p>
    <w:p w:rsidR="006B678B" w:rsidRDefault="006B678B" w:rsidP="00795BC9">
      <w:pPr>
        <w:pStyle w:val="Default"/>
        <w:spacing w:line="360" w:lineRule="auto"/>
        <w:ind w:firstLine="720"/>
        <w:jc w:val="both"/>
        <w:rPr>
          <w:rFonts w:ascii="Times New Roman" w:hAnsi="Times New Roman" w:cs="Times New Roman"/>
        </w:rPr>
      </w:pPr>
      <w:r w:rsidRPr="006B678B">
        <w:rPr>
          <w:rFonts w:ascii="Times New Roman" w:hAnsi="Times New Roman" w:cs="Times New Roman"/>
        </w:rPr>
        <w:t xml:space="preserve">Primul factor a reprezentat 18% din varianța totală, al doilea factor 10,46%, al treilea 9,93%, al patrulea 8,69%, al cincilea </w:t>
      </w:r>
      <w:r>
        <w:rPr>
          <w:rFonts w:ascii="Times New Roman" w:hAnsi="Times New Roman" w:cs="Times New Roman"/>
        </w:rPr>
        <w:t xml:space="preserve">8,27% și al șaselea </w:t>
      </w:r>
      <w:r w:rsidRPr="006B678B">
        <w:rPr>
          <w:rFonts w:ascii="Times New Roman" w:hAnsi="Times New Roman" w:cs="Times New Roman"/>
        </w:rPr>
        <w:t>7,2% din varianță.</w:t>
      </w:r>
    </w:p>
    <w:p w:rsidR="00BC2EBF" w:rsidRPr="00795BC9" w:rsidRDefault="005B1E41" w:rsidP="00795BC9">
      <w:pPr>
        <w:pStyle w:val="Default"/>
        <w:spacing w:line="360" w:lineRule="auto"/>
        <w:ind w:firstLine="720"/>
        <w:jc w:val="both"/>
        <w:rPr>
          <w:rFonts w:ascii="Times New Roman" w:hAnsi="Times New Roman" w:cs="Times New Roman"/>
        </w:rPr>
      </w:pPr>
      <w:r>
        <w:rPr>
          <w:rFonts w:ascii="Times New Roman" w:hAnsi="Times New Roman" w:cs="Times New Roman"/>
        </w:rPr>
        <w:t>A fost realizată o</w:t>
      </w:r>
      <w:r w:rsidRPr="005B1E41">
        <w:rPr>
          <w:rFonts w:ascii="Times New Roman" w:hAnsi="Times New Roman" w:cs="Times New Roman"/>
        </w:rPr>
        <w:t xml:space="preserve"> analiză de consistență internă pentru fiecare dintre cei șase factori rezultați, pentru a demonstra că itemii de bază converg către aceeași variabilă latent (factor) și sunt consecvenți cu scala utilizată.</w:t>
      </w:r>
    </w:p>
    <w:p w:rsidR="006D093F" w:rsidRPr="006D093F" w:rsidRDefault="006D093F" w:rsidP="006D093F">
      <w:pPr>
        <w:pStyle w:val="Default"/>
        <w:spacing w:line="360" w:lineRule="auto"/>
        <w:ind w:firstLine="720"/>
        <w:jc w:val="both"/>
        <w:rPr>
          <w:rFonts w:ascii="Times New Roman" w:hAnsi="Times New Roman" w:cs="Times New Roman"/>
        </w:rPr>
      </w:pPr>
      <w:r w:rsidRPr="006D093F">
        <w:rPr>
          <w:rFonts w:ascii="Times New Roman" w:hAnsi="Times New Roman" w:cs="Times New Roman"/>
        </w:rPr>
        <w:t xml:space="preserve">Pentru analiza consistenței interne a fost utilizat indicele Cronbach </w:t>
      </w:r>
      <w:r w:rsidRPr="006D093F">
        <w:rPr>
          <w:rFonts w:ascii="Times New Roman" w:hAnsi="Times New Roman" w:cs="Times New Roman"/>
          <w:color w:val="auto"/>
        </w:rPr>
        <w:t xml:space="preserve">α </w:t>
      </w:r>
      <w:r w:rsidRPr="006D093F">
        <w:rPr>
          <w:rFonts w:ascii="Times New Roman" w:hAnsi="Times New Roman" w:cs="Times New Roman"/>
        </w:rPr>
        <w:t xml:space="preserve"> și în toate cazurile, cu excepția Factorului 4 care se referă la Obstacole, valoarea acestuia depășește pragul recomandat în științe sociale de 0,7.</w:t>
      </w:r>
      <w:r>
        <w:rPr>
          <w:rFonts w:ascii="Times New Roman" w:hAnsi="Times New Roman" w:cs="Times New Roman"/>
        </w:rPr>
        <w:t xml:space="preserve"> </w:t>
      </w:r>
    </w:p>
    <w:p w:rsidR="006B6BD5" w:rsidRDefault="006D093F" w:rsidP="006D093F">
      <w:pPr>
        <w:pStyle w:val="Default"/>
        <w:spacing w:line="360" w:lineRule="auto"/>
        <w:ind w:firstLine="720"/>
        <w:jc w:val="both"/>
      </w:pPr>
      <w:r w:rsidRPr="006D093F">
        <w:t xml:space="preserve">Pentru </w:t>
      </w:r>
      <w:proofErr w:type="gramStart"/>
      <w:r w:rsidRPr="006D093F">
        <w:t>a</w:t>
      </w:r>
      <w:proofErr w:type="gramEnd"/>
      <w:r w:rsidRPr="006D093F">
        <w:t xml:space="preserve"> evalua relația cauzală dintre scorurile factorilor celor șase variabile latente (PCA1-PCA6) și atitudinea față de eficiența energetică și decarbonizare </w:t>
      </w:r>
      <w:r>
        <w:t>s-a</w:t>
      </w:r>
      <w:r w:rsidRPr="006D093F">
        <w:t xml:space="preserve"> efectuat o analiză de regresie multiplă, unde atitudinea reprezintă variabila dependentă și PCA1-PCA6 variabilele independente</w:t>
      </w:r>
      <w:r>
        <w:t xml:space="preserve"> (Tabelul 1)</w:t>
      </w:r>
      <w:r w:rsidRPr="006D093F">
        <w:t>.</w:t>
      </w:r>
    </w:p>
    <w:p w:rsidR="006D093F" w:rsidRDefault="006D093F" w:rsidP="006D093F">
      <w:pPr>
        <w:pStyle w:val="Default"/>
        <w:spacing w:line="360" w:lineRule="auto"/>
        <w:ind w:firstLine="720"/>
        <w:jc w:val="both"/>
      </w:pPr>
    </w:p>
    <w:p w:rsidR="006D093F" w:rsidRDefault="006D093F" w:rsidP="006D093F">
      <w:pPr>
        <w:pStyle w:val="Default"/>
        <w:spacing w:line="360" w:lineRule="auto"/>
        <w:ind w:firstLine="720"/>
        <w:jc w:val="both"/>
      </w:pPr>
    </w:p>
    <w:p w:rsidR="006D093F" w:rsidRDefault="006D093F" w:rsidP="006D093F">
      <w:pPr>
        <w:pStyle w:val="Default"/>
        <w:spacing w:line="360" w:lineRule="auto"/>
        <w:ind w:firstLine="720"/>
        <w:jc w:val="both"/>
      </w:pPr>
    </w:p>
    <w:p w:rsidR="006D093F" w:rsidRPr="005F6C3F" w:rsidRDefault="006D093F" w:rsidP="006D093F">
      <w:pPr>
        <w:pStyle w:val="MDPI41tablecaption"/>
      </w:pPr>
      <w:r w:rsidRPr="005F6C3F">
        <w:rPr>
          <w:b/>
          <w:shd w:val="clear" w:color="auto" w:fill="FFFFFF"/>
        </w:rPr>
        <w:lastRenderedPageBreak/>
        <w:t>Tab</w:t>
      </w:r>
      <w:r>
        <w:rPr>
          <w:b/>
          <w:shd w:val="clear" w:color="auto" w:fill="FFFFFF"/>
        </w:rPr>
        <w:t>e</w:t>
      </w:r>
      <w:r w:rsidRPr="005F6C3F">
        <w:rPr>
          <w:b/>
          <w:shd w:val="clear" w:color="auto" w:fill="FFFFFF"/>
        </w:rPr>
        <w:t>l</w:t>
      </w:r>
      <w:r>
        <w:rPr>
          <w:b/>
          <w:shd w:val="clear" w:color="auto" w:fill="FFFFFF"/>
        </w:rPr>
        <w:t>ul 1</w:t>
      </w:r>
      <w:r w:rsidRPr="005F6C3F">
        <w:rPr>
          <w:b/>
          <w:shd w:val="clear" w:color="auto" w:fill="FFFFFF"/>
        </w:rPr>
        <w:t xml:space="preserve">. </w:t>
      </w:r>
      <w:r>
        <w:rPr>
          <w:b/>
          <w:shd w:val="clear" w:color="auto" w:fill="FFFFFF"/>
        </w:rPr>
        <w:t>Modelul regresiei multiple</w:t>
      </w:r>
    </w:p>
    <w:tbl>
      <w:tblPr>
        <w:tblW w:w="7266" w:type="dxa"/>
        <w:tblInd w:w="26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80"/>
        <w:gridCol w:w="1009"/>
        <w:gridCol w:w="1070"/>
        <w:gridCol w:w="1469"/>
        <w:gridCol w:w="1469"/>
        <w:gridCol w:w="1469"/>
      </w:tblGrid>
      <w:tr w:rsidR="006D093F" w:rsidRPr="005F6C3F" w:rsidTr="000346B3">
        <w:trPr>
          <w:cantSplit/>
        </w:trPr>
        <w:tc>
          <w:tcPr>
            <w:tcW w:w="7266" w:type="dxa"/>
            <w:gridSpan w:val="6"/>
            <w:tcBorders>
              <w:top w:val="nil"/>
              <w:left w:val="nil"/>
              <w:bottom w:val="nil"/>
              <w:right w:val="nil"/>
            </w:tcBorders>
            <w:shd w:val="clear" w:color="auto" w:fill="FFFFFF"/>
          </w:tcPr>
          <w:p w:rsidR="006D093F" w:rsidRPr="005F6C3F" w:rsidRDefault="006D093F" w:rsidP="000346B3">
            <w:pPr>
              <w:adjustRightInd w:val="0"/>
              <w:snapToGrid w:val="0"/>
              <w:spacing w:after="0" w:line="320" w:lineRule="atLeast"/>
              <w:ind w:left="60" w:right="60"/>
              <w:jc w:val="center"/>
              <w:rPr>
                <w:rFonts w:ascii="Times New Roman" w:hAnsi="Times New Roman" w:cs="Times New Roman"/>
                <w:color w:val="000000"/>
                <w:sz w:val="16"/>
                <w:szCs w:val="16"/>
              </w:rPr>
            </w:pPr>
            <w:r w:rsidRPr="005F6C3F">
              <w:rPr>
                <w:rFonts w:ascii="Times New Roman" w:hAnsi="Times New Roman" w:cs="Times New Roman"/>
                <w:b/>
                <w:bCs/>
                <w:color w:val="000000"/>
                <w:sz w:val="16"/>
                <w:szCs w:val="16"/>
              </w:rPr>
              <w:t>Model Summary</w:t>
            </w:r>
            <w:r w:rsidRPr="005F6C3F">
              <w:rPr>
                <w:rFonts w:ascii="Times New Roman" w:hAnsi="Times New Roman" w:cs="Times New Roman"/>
                <w:b/>
                <w:bCs/>
                <w:color w:val="000000"/>
                <w:sz w:val="16"/>
                <w:szCs w:val="16"/>
                <w:vertAlign w:val="superscript"/>
              </w:rPr>
              <w:t>b</w:t>
            </w:r>
          </w:p>
        </w:tc>
      </w:tr>
      <w:tr w:rsidR="006D093F" w:rsidRPr="005F6C3F" w:rsidTr="000346B3">
        <w:trPr>
          <w:cantSplit/>
        </w:trPr>
        <w:tc>
          <w:tcPr>
            <w:tcW w:w="780" w:type="dxa"/>
            <w:tcBorders>
              <w:top w:val="single" w:sz="16" w:space="0" w:color="000000"/>
              <w:left w:val="single" w:sz="16" w:space="0" w:color="000000"/>
              <w:bottom w:val="single" w:sz="16" w:space="0" w:color="000000"/>
              <w:right w:val="single" w:sz="16" w:space="0" w:color="000000"/>
            </w:tcBorders>
            <w:shd w:val="clear" w:color="auto" w:fill="FFFFFF"/>
          </w:tcPr>
          <w:p w:rsidR="006D093F" w:rsidRPr="005F6C3F" w:rsidRDefault="006D093F" w:rsidP="000346B3">
            <w:pPr>
              <w:adjustRightInd w:val="0"/>
              <w:snapToGrid w:val="0"/>
              <w:spacing w:after="0" w:line="320" w:lineRule="atLeast"/>
              <w:ind w:left="60" w:right="60"/>
              <w:rPr>
                <w:rFonts w:ascii="Times New Roman" w:hAnsi="Times New Roman" w:cs="Times New Roman"/>
                <w:color w:val="000000"/>
                <w:sz w:val="16"/>
                <w:szCs w:val="16"/>
              </w:rPr>
            </w:pPr>
            <w:r w:rsidRPr="005F6C3F">
              <w:rPr>
                <w:rFonts w:ascii="Times New Roman" w:hAnsi="Times New Roman" w:cs="Times New Roman"/>
                <w:color w:val="000000"/>
                <w:sz w:val="16"/>
                <w:szCs w:val="16"/>
              </w:rPr>
              <w:t>Model</w:t>
            </w:r>
          </w:p>
        </w:tc>
        <w:tc>
          <w:tcPr>
            <w:tcW w:w="1009" w:type="dxa"/>
            <w:tcBorders>
              <w:top w:val="single" w:sz="16" w:space="0" w:color="000000"/>
              <w:left w:val="single" w:sz="16" w:space="0" w:color="000000"/>
              <w:bottom w:val="single" w:sz="16" w:space="0" w:color="000000"/>
            </w:tcBorders>
            <w:shd w:val="clear" w:color="auto" w:fill="FFFFFF"/>
          </w:tcPr>
          <w:p w:rsidR="006D093F" w:rsidRPr="005F6C3F" w:rsidRDefault="006D093F" w:rsidP="000346B3">
            <w:pPr>
              <w:adjustRightInd w:val="0"/>
              <w:snapToGrid w:val="0"/>
              <w:spacing w:after="0" w:line="320" w:lineRule="atLeast"/>
              <w:ind w:left="60" w:right="60"/>
              <w:jc w:val="center"/>
              <w:rPr>
                <w:rFonts w:ascii="Times New Roman" w:hAnsi="Times New Roman" w:cs="Times New Roman"/>
                <w:color w:val="000000"/>
                <w:sz w:val="16"/>
                <w:szCs w:val="16"/>
              </w:rPr>
            </w:pPr>
            <w:r w:rsidRPr="005F6C3F">
              <w:rPr>
                <w:rFonts w:ascii="Times New Roman" w:hAnsi="Times New Roman" w:cs="Times New Roman"/>
                <w:color w:val="000000"/>
                <w:sz w:val="16"/>
                <w:szCs w:val="16"/>
              </w:rPr>
              <w:t>R</w:t>
            </w:r>
          </w:p>
        </w:tc>
        <w:tc>
          <w:tcPr>
            <w:tcW w:w="1070" w:type="dxa"/>
            <w:tcBorders>
              <w:top w:val="single" w:sz="16" w:space="0" w:color="000000"/>
              <w:bottom w:val="single" w:sz="16" w:space="0" w:color="000000"/>
            </w:tcBorders>
            <w:shd w:val="clear" w:color="auto" w:fill="FFFFFF"/>
          </w:tcPr>
          <w:p w:rsidR="006D093F" w:rsidRPr="005F6C3F" w:rsidRDefault="006D093F" w:rsidP="000346B3">
            <w:pPr>
              <w:adjustRightInd w:val="0"/>
              <w:snapToGrid w:val="0"/>
              <w:spacing w:after="0" w:line="320" w:lineRule="atLeast"/>
              <w:ind w:left="60" w:right="60"/>
              <w:jc w:val="center"/>
              <w:rPr>
                <w:rFonts w:ascii="Times New Roman" w:hAnsi="Times New Roman" w:cs="Times New Roman"/>
                <w:color w:val="000000"/>
                <w:sz w:val="16"/>
                <w:szCs w:val="16"/>
              </w:rPr>
            </w:pPr>
            <w:r w:rsidRPr="005F6C3F">
              <w:rPr>
                <w:rFonts w:ascii="Times New Roman" w:hAnsi="Times New Roman" w:cs="Times New Roman"/>
                <w:color w:val="000000"/>
                <w:sz w:val="16"/>
                <w:szCs w:val="16"/>
              </w:rPr>
              <w:t>R Square</w:t>
            </w:r>
          </w:p>
        </w:tc>
        <w:tc>
          <w:tcPr>
            <w:tcW w:w="1469" w:type="dxa"/>
            <w:tcBorders>
              <w:top w:val="single" w:sz="16" w:space="0" w:color="000000"/>
              <w:bottom w:val="single" w:sz="16" w:space="0" w:color="000000"/>
            </w:tcBorders>
            <w:shd w:val="clear" w:color="auto" w:fill="FFFFFF"/>
          </w:tcPr>
          <w:p w:rsidR="006D093F" w:rsidRPr="005F6C3F" w:rsidRDefault="006D093F" w:rsidP="000346B3">
            <w:pPr>
              <w:adjustRightInd w:val="0"/>
              <w:snapToGrid w:val="0"/>
              <w:spacing w:after="0" w:line="320" w:lineRule="atLeast"/>
              <w:ind w:left="60" w:right="60"/>
              <w:jc w:val="center"/>
              <w:rPr>
                <w:rFonts w:ascii="Times New Roman" w:hAnsi="Times New Roman" w:cs="Times New Roman"/>
                <w:color w:val="000000"/>
                <w:sz w:val="16"/>
                <w:szCs w:val="16"/>
              </w:rPr>
            </w:pPr>
            <w:r w:rsidRPr="005F6C3F">
              <w:rPr>
                <w:rFonts w:ascii="Times New Roman" w:hAnsi="Times New Roman" w:cs="Times New Roman"/>
                <w:color w:val="000000"/>
                <w:sz w:val="16"/>
                <w:szCs w:val="16"/>
              </w:rPr>
              <w:t>Adjusted R Square</w:t>
            </w:r>
          </w:p>
        </w:tc>
        <w:tc>
          <w:tcPr>
            <w:tcW w:w="1469" w:type="dxa"/>
            <w:tcBorders>
              <w:top w:val="single" w:sz="16" w:space="0" w:color="000000"/>
              <w:bottom w:val="single" w:sz="16" w:space="0" w:color="000000"/>
            </w:tcBorders>
            <w:shd w:val="clear" w:color="auto" w:fill="FFFFFF"/>
          </w:tcPr>
          <w:p w:rsidR="006D093F" w:rsidRPr="005F6C3F" w:rsidRDefault="006D093F" w:rsidP="000346B3">
            <w:pPr>
              <w:adjustRightInd w:val="0"/>
              <w:snapToGrid w:val="0"/>
              <w:spacing w:after="0" w:line="320" w:lineRule="atLeast"/>
              <w:ind w:left="60" w:right="60"/>
              <w:jc w:val="center"/>
              <w:rPr>
                <w:rFonts w:ascii="Times New Roman" w:hAnsi="Times New Roman" w:cs="Times New Roman"/>
                <w:color w:val="000000"/>
                <w:sz w:val="16"/>
                <w:szCs w:val="16"/>
              </w:rPr>
            </w:pPr>
            <w:r w:rsidRPr="005F6C3F">
              <w:rPr>
                <w:rFonts w:ascii="Times New Roman" w:hAnsi="Times New Roman" w:cs="Times New Roman"/>
                <w:color w:val="000000"/>
                <w:sz w:val="16"/>
                <w:szCs w:val="16"/>
              </w:rPr>
              <w:t>Std. Error of the Estimate</w:t>
            </w:r>
          </w:p>
        </w:tc>
        <w:tc>
          <w:tcPr>
            <w:tcW w:w="1469" w:type="dxa"/>
            <w:tcBorders>
              <w:top w:val="single" w:sz="16" w:space="0" w:color="000000"/>
              <w:bottom w:val="single" w:sz="16" w:space="0" w:color="000000"/>
              <w:right w:val="single" w:sz="16" w:space="0" w:color="000000"/>
            </w:tcBorders>
            <w:shd w:val="clear" w:color="auto" w:fill="FFFFFF"/>
          </w:tcPr>
          <w:p w:rsidR="006D093F" w:rsidRPr="005F6C3F" w:rsidRDefault="006D093F" w:rsidP="000346B3">
            <w:pPr>
              <w:adjustRightInd w:val="0"/>
              <w:snapToGrid w:val="0"/>
              <w:spacing w:after="0" w:line="320" w:lineRule="atLeast"/>
              <w:ind w:left="60" w:right="60"/>
              <w:jc w:val="center"/>
              <w:rPr>
                <w:rFonts w:ascii="Times New Roman" w:hAnsi="Times New Roman" w:cs="Times New Roman"/>
                <w:color w:val="000000"/>
                <w:sz w:val="16"/>
                <w:szCs w:val="16"/>
              </w:rPr>
            </w:pPr>
            <w:r w:rsidRPr="005F6C3F">
              <w:rPr>
                <w:rFonts w:ascii="Times New Roman" w:hAnsi="Times New Roman" w:cs="Times New Roman"/>
                <w:color w:val="000000"/>
                <w:sz w:val="16"/>
                <w:szCs w:val="16"/>
              </w:rPr>
              <w:t>Durbin-Watson</w:t>
            </w:r>
          </w:p>
        </w:tc>
      </w:tr>
      <w:tr w:rsidR="006D093F" w:rsidRPr="005F6C3F" w:rsidTr="000346B3">
        <w:trPr>
          <w:cantSplit/>
        </w:trPr>
        <w:tc>
          <w:tcPr>
            <w:tcW w:w="780" w:type="dxa"/>
            <w:tcBorders>
              <w:top w:val="single" w:sz="16" w:space="0" w:color="000000"/>
              <w:left w:val="single" w:sz="16" w:space="0" w:color="000000"/>
              <w:bottom w:val="single" w:sz="16" w:space="0" w:color="000000"/>
              <w:right w:val="single" w:sz="16" w:space="0" w:color="000000"/>
            </w:tcBorders>
            <w:shd w:val="clear" w:color="auto" w:fill="FFFFFF"/>
            <w:vAlign w:val="center"/>
          </w:tcPr>
          <w:p w:rsidR="006D093F" w:rsidRPr="005F6C3F" w:rsidRDefault="006D093F" w:rsidP="000346B3">
            <w:pPr>
              <w:adjustRightInd w:val="0"/>
              <w:snapToGrid w:val="0"/>
              <w:spacing w:after="0" w:line="320" w:lineRule="atLeast"/>
              <w:ind w:left="60" w:right="60"/>
              <w:rPr>
                <w:rFonts w:ascii="Times New Roman" w:hAnsi="Times New Roman" w:cs="Times New Roman"/>
                <w:color w:val="000000"/>
                <w:sz w:val="16"/>
                <w:szCs w:val="16"/>
              </w:rPr>
            </w:pPr>
            <w:r w:rsidRPr="005F6C3F">
              <w:rPr>
                <w:rFonts w:ascii="Times New Roman" w:hAnsi="Times New Roman" w:cs="Times New Roman"/>
                <w:color w:val="000000"/>
                <w:sz w:val="16"/>
                <w:szCs w:val="16"/>
              </w:rPr>
              <w:t>1</w:t>
            </w:r>
          </w:p>
        </w:tc>
        <w:tc>
          <w:tcPr>
            <w:tcW w:w="1009" w:type="dxa"/>
            <w:tcBorders>
              <w:top w:val="single" w:sz="16" w:space="0" w:color="000000"/>
              <w:left w:val="single" w:sz="16" w:space="0" w:color="000000"/>
              <w:bottom w:val="single" w:sz="16" w:space="0" w:color="000000"/>
            </w:tcBorders>
            <w:shd w:val="clear" w:color="auto" w:fill="FFFFFF"/>
            <w:vAlign w:val="center"/>
          </w:tcPr>
          <w:p w:rsidR="006D093F" w:rsidRPr="005F6C3F" w:rsidRDefault="006D093F" w:rsidP="000346B3">
            <w:pPr>
              <w:adjustRightInd w:val="0"/>
              <w:snapToGrid w:val="0"/>
              <w:spacing w:after="0" w:line="320" w:lineRule="atLeast"/>
              <w:ind w:left="60" w:right="60"/>
              <w:jc w:val="right"/>
              <w:rPr>
                <w:rFonts w:ascii="Times New Roman" w:hAnsi="Times New Roman" w:cs="Times New Roman"/>
                <w:color w:val="000000"/>
                <w:sz w:val="16"/>
                <w:szCs w:val="16"/>
              </w:rPr>
            </w:pPr>
            <w:r w:rsidRPr="005F6C3F">
              <w:rPr>
                <w:rFonts w:ascii="Times New Roman" w:hAnsi="Times New Roman" w:cs="Times New Roman"/>
                <w:color w:val="000000"/>
                <w:sz w:val="16"/>
                <w:szCs w:val="16"/>
              </w:rPr>
              <w:t>,567</w:t>
            </w:r>
            <w:r w:rsidRPr="005F6C3F">
              <w:rPr>
                <w:rFonts w:ascii="Times New Roman" w:hAnsi="Times New Roman" w:cs="Times New Roman"/>
                <w:color w:val="000000"/>
                <w:sz w:val="16"/>
                <w:szCs w:val="16"/>
                <w:vertAlign w:val="superscript"/>
              </w:rPr>
              <w:t>a</w:t>
            </w:r>
          </w:p>
        </w:tc>
        <w:tc>
          <w:tcPr>
            <w:tcW w:w="1070" w:type="dxa"/>
            <w:tcBorders>
              <w:top w:val="single" w:sz="16" w:space="0" w:color="000000"/>
              <w:bottom w:val="single" w:sz="16" w:space="0" w:color="000000"/>
            </w:tcBorders>
            <w:shd w:val="clear" w:color="auto" w:fill="FFFFFF"/>
            <w:vAlign w:val="center"/>
          </w:tcPr>
          <w:p w:rsidR="006D093F" w:rsidRPr="005F6C3F" w:rsidRDefault="006D093F" w:rsidP="000346B3">
            <w:pPr>
              <w:adjustRightInd w:val="0"/>
              <w:snapToGrid w:val="0"/>
              <w:spacing w:after="0" w:line="320" w:lineRule="atLeast"/>
              <w:ind w:left="60" w:right="60"/>
              <w:jc w:val="right"/>
              <w:rPr>
                <w:rFonts w:ascii="Times New Roman" w:hAnsi="Times New Roman" w:cs="Times New Roman"/>
                <w:color w:val="000000"/>
                <w:sz w:val="16"/>
                <w:szCs w:val="16"/>
              </w:rPr>
            </w:pPr>
            <w:r w:rsidRPr="005F6C3F">
              <w:rPr>
                <w:rFonts w:ascii="Times New Roman" w:hAnsi="Times New Roman" w:cs="Times New Roman"/>
                <w:color w:val="000000"/>
                <w:sz w:val="16"/>
                <w:szCs w:val="16"/>
              </w:rPr>
              <w:t>,322</w:t>
            </w:r>
          </w:p>
        </w:tc>
        <w:tc>
          <w:tcPr>
            <w:tcW w:w="1469" w:type="dxa"/>
            <w:tcBorders>
              <w:top w:val="single" w:sz="16" w:space="0" w:color="000000"/>
              <w:bottom w:val="single" w:sz="16" w:space="0" w:color="000000"/>
            </w:tcBorders>
            <w:shd w:val="clear" w:color="auto" w:fill="FFFFFF"/>
            <w:vAlign w:val="center"/>
          </w:tcPr>
          <w:p w:rsidR="006D093F" w:rsidRPr="005F6C3F" w:rsidRDefault="006D093F" w:rsidP="000346B3">
            <w:pPr>
              <w:adjustRightInd w:val="0"/>
              <w:snapToGrid w:val="0"/>
              <w:spacing w:after="0" w:line="320" w:lineRule="atLeast"/>
              <w:ind w:left="60" w:right="60"/>
              <w:jc w:val="right"/>
              <w:rPr>
                <w:rFonts w:ascii="Times New Roman" w:hAnsi="Times New Roman" w:cs="Times New Roman"/>
                <w:color w:val="000000"/>
                <w:sz w:val="16"/>
                <w:szCs w:val="16"/>
              </w:rPr>
            </w:pPr>
            <w:r w:rsidRPr="005F6C3F">
              <w:rPr>
                <w:rFonts w:ascii="Times New Roman" w:hAnsi="Times New Roman" w:cs="Times New Roman"/>
                <w:color w:val="000000"/>
                <w:sz w:val="16"/>
                <w:szCs w:val="16"/>
              </w:rPr>
              <w:t>,311</w:t>
            </w:r>
          </w:p>
        </w:tc>
        <w:tc>
          <w:tcPr>
            <w:tcW w:w="1469" w:type="dxa"/>
            <w:tcBorders>
              <w:top w:val="single" w:sz="16" w:space="0" w:color="000000"/>
              <w:bottom w:val="single" w:sz="16" w:space="0" w:color="000000"/>
            </w:tcBorders>
            <w:shd w:val="clear" w:color="auto" w:fill="FFFFFF"/>
            <w:vAlign w:val="center"/>
          </w:tcPr>
          <w:p w:rsidR="006D093F" w:rsidRPr="005F6C3F" w:rsidRDefault="006D093F" w:rsidP="000346B3">
            <w:pPr>
              <w:adjustRightInd w:val="0"/>
              <w:snapToGrid w:val="0"/>
              <w:spacing w:after="0" w:line="320" w:lineRule="atLeast"/>
              <w:ind w:left="60" w:right="60"/>
              <w:jc w:val="right"/>
              <w:rPr>
                <w:rFonts w:ascii="Times New Roman" w:hAnsi="Times New Roman" w:cs="Times New Roman"/>
                <w:color w:val="000000"/>
                <w:sz w:val="16"/>
                <w:szCs w:val="16"/>
              </w:rPr>
            </w:pPr>
            <w:r w:rsidRPr="005F6C3F">
              <w:rPr>
                <w:rFonts w:ascii="Times New Roman" w:hAnsi="Times New Roman" w:cs="Times New Roman"/>
                <w:color w:val="000000"/>
                <w:sz w:val="16"/>
                <w:szCs w:val="16"/>
              </w:rPr>
              <w:t>,67795</w:t>
            </w:r>
          </w:p>
        </w:tc>
        <w:tc>
          <w:tcPr>
            <w:tcW w:w="1469" w:type="dxa"/>
            <w:tcBorders>
              <w:top w:val="single" w:sz="16" w:space="0" w:color="000000"/>
              <w:bottom w:val="single" w:sz="16" w:space="0" w:color="000000"/>
              <w:right w:val="single" w:sz="16" w:space="0" w:color="000000"/>
            </w:tcBorders>
            <w:shd w:val="clear" w:color="auto" w:fill="FFFFFF"/>
            <w:vAlign w:val="center"/>
          </w:tcPr>
          <w:p w:rsidR="006D093F" w:rsidRPr="005F6C3F" w:rsidRDefault="006D093F" w:rsidP="000346B3">
            <w:pPr>
              <w:adjustRightInd w:val="0"/>
              <w:snapToGrid w:val="0"/>
              <w:spacing w:after="0" w:line="320" w:lineRule="atLeast"/>
              <w:ind w:left="60" w:right="60"/>
              <w:jc w:val="right"/>
              <w:rPr>
                <w:rFonts w:ascii="Times New Roman" w:hAnsi="Times New Roman" w:cs="Times New Roman"/>
                <w:color w:val="000000"/>
                <w:sz w:val="16"/>
                <w:szCs w:val="16"/>
              </w:rPr>
            </w:pPr>
            <w:r w:rsidRPr="005F6C3F">
              <w:rPr>
                <w:rFonts w:ascii="Times New Roman" w:hAnsi="Times New Roman" w:cs="Times New Roman"/>
                <w:color w:val="000000"/>
                <w:sz w:val="16"/>
                <w:szCs w:val="16"/>
              </w:rPr>
              <w:t>1,952</w:t>
            </w:r>
          </w:p>
        </w:tc>
      </w:tr>
      <w:tr w:rsidR="006D093F" w:rsidRPr="005F6C3F" w:rsidTr="000346B3">
        <w:trPr>
          <w:cantSplit/>
        </w:trPr>
        <w:tc>
          <w:tcPr>
            <w:tcW w:w="7266" w:type="dxa"/>
            <w:gridSpan w:val="6"/>
            <w:tcBorders>
              <w:top w:val="nil"/>
              <w:left w:val="nil"/>
              <w:bottom w:val="nil"/>
              <w:right w:val="nil"/>
            </w:tcBorders>
            <w:shd w:val="clear" w:color="auto" w:fill="FFFFFF"/>
          </w:tcPr>
          <w:p w:rsidR="006D093F" w:rsidRPr="007969CB" w:rsidRDefault="006D093F" w:rsidP="007969CB">
            <w:pPr>
              <w:pStyle w:val="ListParagraph"/>
              <w:numPr>
                <w:ilvl w:val="0"/>
                <w:numId w:val="3"/>
              </w:numPr>
              <w:adjustRightInd w:val="0"/>
              <w:snapToGrid w:val="0"/>
              <w:spacing w:after="0" w:line="320" w:lineRule="atLeast"/>
              <w:ind w:right="60"/>
              <w:rPr>
                <w:rFonts w:ascii="Times New Roman" w:hAnsi="Times New Roman" w:cs="Times New Roman"/>
                <w:color w:val="000000"/>
                <w:sz w:val="16"/>
                <w:szCs w:val="16"/>
              </w:rPr>
            </w:pPr>
            <w:r w:rsidRPr="007969CB">
              <w:rPr>
                <w:rFonts w:ascii="Times New Roman" w:hAnsi="Times New Roman" w:cs="Times New Roman"/>
                <w:color w:val="000000"/>
                <w:sz w:val="16"/>
                <w:szCs w:val="16"/>
              </w:rPr>
              <w:t>Predictor</w:t>
            </w:r>
            <w:r w:rsidR="007969CB" w:rsidRPr="007969CB">
              <w:rPr>
                <w:rFonts w:ascii="Times New Roman" w:hAnsi="Times New Roman" w:cs="Times New Roman"/>
                <w:color w:val="000000"/>
                <w:sz w:val="16"/>
                <w:szCs w:val="16"/>
              </w:rPr>
              <w:t>i</w:t>
            </w:r>
            <w:r w:rsidRPr="007969CB">
              <w:rPr>
                <w:rFonts w:ascii="Times New Roman" w:hAnsi="Times New Roman" w:cs="Times New Roman"/>
                <w:color w:val="000000"/>
                <w:sz w:val="16"/>
                <w:szCs w:val="16"/>
              </w:rPr>
              <w:t>: (Constant), PCA6_</w:t>
            </w:r>
            <w:r w:rsidR="007969CB" w:rsidRPr="007969CB">
              <w:rPr>
                <w:rFonts w:ascii="Times New Roman" w:hAnsi="Times New Roman" w:cs="Times New Roman"/>
                <w:color w:val="000000"/>
                <w:sz w:val="16"/>
                <w:szCs w:val="16"/>
              </w:rPr>
              <w:t>Măsuri tradi</w:t>
            </w:r>
            <w:r w:rsidR="007969CB">
              <w:rPr>
                <w:rFonts w:ascii="Times New Roman" w:hAnsi="Times New Roman" w:cs="Times New Roman"/>
                <w:color w:val="000000"/>
                <w:sz w:val="16"/>
                <w:szCs w:val="16"/>
              </w:rPr>
              <w:t>ț</w:t>
            </w:r>
            <w:r w:rsidR="007969CB" w:rsidRPr="007969CB">
              <w:rPr>
                <w:rFonts w:ascii="Times New Roman" w:hAnsi="Times New Roman" w:cs="Times New Roman"/>
                <w:color w:val="000000"/>
                <w:sz w:val="16"/>
                <w:szCs w:val="16"/>
              </w:rPr>
              <w:t>ionale</w:t>
            </w:r>
            <w:r w:rsidRPr="007969CB">
              <w:rPr>
                <w:rFonts w:ascii="Times New Roman" w:hAnsi="Times New Roman" w:cs="Times New Roman"/>
                <w:color w:val="000000"/>
                <w:sz w:val="16"/>
                <w:szCs w:val="16"/>
              </w:rPr>
              <w:t>, PCA5_B</w:t>
            </w:r>
            <w:r w:rsidR="007969CB" w:rsidRPr="007969CB">
              <w:rPr>
                <w:rFonts w:ascii="Times New Roman" w:hAnsi="Times New Roman" w:cs="Times New Roman"/>
                <w:color w:val="000000"/>
                <w:sz w:val="16"/>
                <w:szCs w:val="16"/>
              </w:rPr>
              <w:t>irocrație</w:t>
            </w:r>
            <w:r w:rsidRPr="007969CB">
              <w:rPr>
                <w:rFonts w:ascii="Times New Roman" w:hAnsi="Times New Roman" w:cs="Times New Roman"/>
                <w:color w:val="000000"/>
                <w:sz w:val="16"/>
                <w:szCs w:val="16"/>
              </w:rPr>
              <w:t>, PCA4_Obstac</w:t>
            </w:r>
            <w:r w:rsidR="007969CB" w:rsidRPr="007969CB">
              <w:rPr>
                <w:rFonts w:ascii="Times New Roman" w:hAnsi="Times New Roman" w:cs="Times New Roman"/>
                <w:color w:val="000000"/>
                <w:sz w:val="16"/>
                <w:szCs w:val="16"/>
              </w:rPr>
              <w:t>ole</w:t>
            </w:r>
            <w:r w:rsidRPr="007969CB">
              <w:rPr>
                <w:rFonts w:ascii="Times New Roman" w:hAnsi="Times New Roman" w:cs="Times New Roman"/>
                <w:color w:val="000000"/>
                <w:sz w:val="16"/>
                <w:szCs w:val="16"/>
              </w:rPr>
              <w:t>, PCA3_</w:t>
            </w:r>
            <w:r w:rsidR="007969CB">
              <w:rPr>
                <w:rFonts w:ascii="Times New Roman" w:hAnsi="Times New Roman" w:cs="Times New Roman"/>
                <w:color w:val="000000"/>
                <w:sz w:val="16"/>
                <w:szCs w:val="16"/>
              </w:rPr>
              <w:t>Motive</w:t>
            </w:r>
            <w:r w:rsidRPr="007969CB">
              <w:rPr>
                <w:rFonts w:ascii="Times New Roman" w:hAnsi="Times New Roman" w:cs="Times New Roman"/>
                <w:color w:val="000000"/>
                <w:sz w:val="16"/>
                <w:szCs w:val="16"/>
              </w:rPr>
              <w:t>, PCA2_</w:t>
            </w:r>
            <w:r w:rsidR="007969CB" w:rsidRPr="007969CB">
              <w:rPr>
                <w:rFonts w:ascii="Times New Roman" w:hAnsi="Times New Roman" w:cs="Times New Roman"/>
                <w:color w:val="000000"/>
                <w:sz w:val="16"/>
                <w:szCs w:val="16"/>
              </w:rPr>
              <w:t>Măsuri moderne</w:t>
            </w:r>
            <w:r w:rsidRPr="007969CB">
              <w:rPr>
                <w:rFonts w:ascii="Times New Roman" w:hAnsi="Times New Roman" w:cs="Times New Roman"/>
                <w:color w:val="000000"/>
                <w:sz w:val="16"/>
                <w:szCs w:val="16"/>
              </w:rPr>
              <w:t>, PCA1_Informa</w:t>
            </w:r>
            <w:r w:rsidR="007969CB" w:rsidRPr="007969CB">
              <w:rPr>
                <w:rFonts w:ascii="Times New Roman" w:hAnsi="Times New Roman" w:cs="Times New Roman"/>
                <w:color w:val="000000"/>
                <w:sz w:val="16"/>
                <w:szCs w:val="16"/>
              </w:rPr>
              <w:t>re</w:t>
            </w:r>
          </w:p>
        </w:tc>
      </w:tr>
      <w:tr w:rsidR="006D093F" w:rsidRPr="005F6C3F" w:rsidTr="000346B3">
        <w:trPr>
          <w:cantSplit/>
        </w:trPr>
        <w:tc>
          <w:tcPr>
            <w:tcW w:w="7266" w:type="dxa"/>
            <w:gridSpan w:val="6"/>
            <w:tcBorders>
              <w:top w:val="nil"/>
              <w:left w:val="nil"/>
              <w:bottom w:val="nil"/>
              <w:right w:val="nil"/>
            </w:tcBorders>
            <w:shd w:val="clear" w:color="auto" w:fill="FFFFFF"/>
          </w:tcPr>
          <w:p w:rsidR="006D093F" w:rsidRPr="005F6C3F" w:rsidRDefault="006D093F" w:rsidP="007969CB">
            <w:pPr>
              <w:adjustRightInd w:val="0"/>
              <w:snapToGrid w:val="0"/>
              <w:spacing w:after="0" w:line="320" w:lineRule="atLeast"/>
              <w:ind w:left="60" w:right="60"/>
              <w:rPr>
                <w:rFonts w:ascii="Times New Roman" w:hAnsi="Times New Roman" w:cs="Times New Roman"/>
                <w:color w:val="000000"/>
                <w:sz w:val="16"/>
                <w:szCs w:val="16"/>
              </w:rPr>
            </w:pPr>
            <w:r w:rsidRPr="005F6C3F">
              <w:rPr>
                <w:rFonts w:ascii="Times New Roman" w:hAnsi="Times New Roman" w:cs="Times New Roman"/>
                <w:color w:val="000000"/>
                <w:sz w:val="16"/>
                <w:szCs w:val="16"/>
              </w:rPr>
              <w:t xml:space="preserve">b. </w:t>
            </w:r>
            <w:r w:rsidR="007969CB">
              <w:rPr>
                <w:rFonts w:ascii="Times New Roman" w:hAnsi="Times New Roman" w:cs="Times New Roman"/>
                <w:color w:val="000000"/>
                <w:sz w:val="16"/>
                <w:szCs w:val="16"/>
              </w:rPr>
              <w:t xml:space="preserve">Variabilă Dependentă </w:t>
            </w:r>
            <w:r w:rsidRPr="005F6C3F">
              <w:rPr>
                <w:rFonts w:ascii="Times New Roman" w:hAnsi="Times New Roman" w:cs="Times New Roman"/>
                <w:color w:val="000000"/>
                <w:sz w:val="16"/>
                <w:szCs w:val="16"/>
              </w:rPr>
              <w:t xml:space="preserve">: </w:t>
            </w:r>
            <w:r w:rsidR="007969CB">
              <w:rPr>
                <w:rFonts w:ascii="Times New Roman" w:hAnsi="Times New Roman" w:cs="Times New Roman"/>
                <w:color w:val="000000"/>
                <w:sz w:val="16"/>
                <w:szCs w:val="16"/>
              </w:rPr>
              <w:t>A</w:t>
            </w:r>
            <w:r w:rsidRPr="005F6C3F">
              <w:rPr>
                <w:rFonts w:ascii="Times New Roman" w:hAnsi="Times New Roman" w:cs="Times New Roman"/>
                <w:color w:val="000000"/>
                <w:sz w:val="16"/>
                <w:szCs w:val="16"/>
              </w:rPr>
              <w:t>titud</w:t>
            </w:r>
            <w:r w:rsidR="007969CB">
              <w:rPr>
                <w:rFonts w:ascii="Times New Roman" w:hAnsi="Times New Roman" w:cs="Times New Roman"/>
                <w:color w:val="000000"/>
                <w:sz w:val="16"/>
                <w:szCs w:val="16"/>
              </w:rPr>
              <w:t>in</w:t>
            </w:r>
            <w:r w:rsidRPr="005F6C3F">
              <w:rPr>
                <w:rFonts w:ascii="Times New Roman" w:hAnsi="Times New Roman" w:cs="Times New Roman"/>
                <w:color w:val="000000"/>
                <w:sz w:val="16"/>
                <w:szCs w:val="16"/>
              </w:rPr>
              <w:t>e</w:t>
            </w:r>
            <w:r w:rsidR="007969CB">
              <w:rPr>
                <w:rFonts w:ascii="Times New Roman" w:hAnsi="Times New Roman" w:cs="Times New Roman"/>
                <w:color w:val="000000"/>
                <w:sz w:val="16"/>
                <w:szCs w:val="16"/>
              </w:rPr>
              <w:t>a</w:t>
            </w:r>
            <w:r w:rsidRPr="005F6C3F">
              <w:rPr>
                <w:rFonts w:ascii="Times New Roman" w:hAnsi="Times New Roman" w:cs="Times New Roman"/>
                <w:color w:val="000000"/>
                <w:sz w:val="16"/>
                <w:szCs w:val="16"/>
              </w:rPr>
              <w:t xml:space="preserve"> </w:t>
            </w:r>
            <w:r w:rsidR="007969CB">
              <w:rPr>
                <w:rFonts w:ascii="Times New Roman" w:hAnsi="Times New Roman" w:cs="Times New Roman"/>
                <w:color w:val="000000"/>
                <w:sz w:val="16"/>
                <w:szCs w:val="16"/>
              </w:rPr>
              <w:t>față de necesitatea îmbunătățirii preformanței energetice și reducerea amprentei de carbon din propria locuință</w:t>
            </w:r>
          </w:p>
        </w:tc>
      </w:tr>
    </w:tbl>
    <w:p w:rsidR="006D093F" w:rsidRPr="005F6C3F" w:rsidRDefault="006D093F" w:rsidP="006D093F">
      <w:pPr>
        <w:adjustRightInd w:val="0"/>
        <w:snapToGrid w:val="0"/>
        <w:spacing w:after="0" w:line="240" w:lineRule="auto"/>
        <w:rPr>
          <w:rFonts w:ascii="Times New Roman" w:hAnsi="Times New Roman" w:cs="Times New Roman"/>
          <w:sz w:val="24"/>
          <w:szCs w:val="24"/>
        </w:rPr>
      </w:pPr>
    </w:p>
    <w:tbl>
      <w:tblPr>
        <w:tblW w:w="7893" w:type="dxa"/>
        <w:tblInd w:w="25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3"/>
        <w:gridCol w:w="1269"/>
        <w:gridCol w:w="1469"/>
        <w:gridCol w:w="1010"/>
        <w:gridCol w:w="1392"/>
        <w:gridCol w:w="1010"/>
        <w:gridCol w:w="1010"/>
      </w:tblGrid>
      <w:tr w:rsidR="006D093F" w:rsidRPr="005F6C3F" w:rsidTr="000346B3">
        <w:trPr>
          <w:cantSplit/>
        </w:trPr>
        <w:tc>
          <w:tcPr>
            <w:tcW w:w="7893" w:type="dxa"/>
            <w:gridSpan w:val="7"/>
            <w:tcBorders>
              <w:top w:val="nil"/>
              <w:left w:val="nil"/>
              <w:bottom w:val="nil"/>
              <w:right w:val="nil"/>
            </w:tcBorders>
            <w:shd w:val="clear" w:color="auto" w:fill="FFFFFF"/>
          </w:tcPr>
          <w:p w:rsidR="006D093F" w:rsidRPr="005F6C3F" w:rsidRDefault="006D093F" w:rsidP="000346B3">
            <w:pPr>
              <w:adjustRightInd w:val="0"/>
              <w:snapToGrid w:val="0"/>
              <w:spacing w:after="0" w:line="320" w:lineRule="atLeast"/>
              <w:ind w:left="60" w:right="60"/>
              <w:jc w:val="center"/>
              <w:rPr>
                <w:rFonts w:ascii="Times New Roman" w:hAnsi="Times New Roman" w:cs="Times New Roman"/>
                <w:color w:val="000000"/>
                <w:sz w:val="18"/>
                <w:szCs w:val="18"/>
              </w:rPr>
            </w:pPr>
            <w:r w:rsidRPr="005F6C3F">
              <w:rPr>
                <w:rFonts w:ascii="Times New Roman" w:hAnsi="Times New Roman" w:cs="Times New Roman"/>
                <w:b/>
                <w:bCs/>
                <w:color w:val="000000"/>
                <w:sz w:val="18"/>
                <w:szCs w:val="18"/>
              </w:rPr>
              <w:t>ANOVA</w:t>
            </w:r>
            <w:r w:rsidRPr="005F6C3F">
              <w:rPr>
                <w:rFonts w:ascii="Times New Roman" w:hAnsi="Times New Roman" w:cs="Times New Roman"/>
                <w:b/>
                <w:bCs/>
                <w:color w:val="000000"/>
                <w:sz w:val="18"/>
                <w:szCs w:val="18"/>
                <w:vertAlign w:val="superscript"/>
              </w:rPr>
              <w:t>a</w:t>
            </w:r>
          </w:p>
        </w:tc>
      </w:tr>
      <w:tr w:rsidR="006D093F" w:rsidRPr="005F6C3F" w:rsidTr="000346B3">
        <w:trPr>
          <w:cantSplit/>
        </w:trPr>
        <w:tc>
          <w:tcPr>
            <w:tcW w:w="2002" w:type="dxa"/>
            <w:gridSpan w:val="2"/>
            <w:tcBorders>
              <w:top w:val="single" w:sz="16" w:space="0" w:color="000000"/>
              <w:left w:val="single" w:sz="16" w:space="0" w:color="000000"/>
              <w:bottom w:val="single" w:sz="16" w:space="0" w:color="000000"/>
              <w:right w:val="nil"/>
            </w:tcBorders>
            <w:shd w:val="clear" w:color="auto" w:fill="FFFFFF"/>
          </w:tcPr>
          <w:p w:rsidR="006D093F" w:rsidRPr="005F6C3F" w:rsidRDefault="006D093F" w:rsidP="000346B3">
            <w:pPr>
              <w:adjustRightInd w:val="0"/>
              <w:snapToGrid w:val="0"/>
              <w:spacing w:after="0" w:line="320" w:lineRule="atLeast"/>
              <w:ind w:left="60" w:right="60"/>
              <w:rPr>
                <w:rFonts w:ascii="Times New Roman" w:hAnsi="Times New Roman" w:cs="Times New Roman"/>
                <w:color w:val="000000"/>
                <w:sz w:val="18"/>
                <w:szCs w:val="18"/>
              </w:rPr>
            </w:pPr>
            <w:r w:rsidRPr="005F6C3F">
              <w:rPr>
                <w:rFonts w:ascii="Times New Roman" w:hAnsi="Times New Roman" w:cs="Times New Roman"/>
                <w:color w:val="000000"/>
                <w:sz w:val="18"/>
                <w:szCs w:val="18"/>
              </w:rPr>
              <w:t>Model</w:t>
            </w:r>
          </w:p>
        </w:tc>
        <w:tc>
          <w:tcPr>
            <w:tcW w:w="1469" w:type="dxa"/>
            <w:tcBorders>
              <w:top w:val="single" w:sz="16" w:space="0" w:color="000000"/>
              <w:left w:val="single" w:sz="16" w:space="0" w:color="000000"/>
              <w:bottom w:val="single" w:sz="16" w:space="0" w:color="000000"/>
            </w:tcBorders>
            <w:shd w:val="clear" w:color="auto" w:fill="FFFFFF"/>
          </w:tcPr>
          <w:p w:rsidR="006D093F" w:rsidRPr="005F6C3F" w:rsidRDefault="006D093F" w:rsidP="007969CB">
            <w:pPr>
              <w:adjustRightInd w:val="0"/>
              <w:snapToGrid w:val="0"/>
              <w:spacing w:after="0" w:line="320" w:lineRule="atLeast"/>
              <w:ind w:left="60" w:right="60"/>
              <w:jc w:val="center"/>
              <w:rPr>
                <w:rFonts w:ascii="Times New Roman" w:hAnsi="Times New Roman" w:cs="Times New Roman"/>
                <w:color w:val="000000"/>
                <w:sz w:val="18"/>
                <w:szCs w:val="18"/>
              </w:rPr>
            </w:pPr>
            <w:r w:rsidRPr="005F6C3F">
              <w:rPr>
                <w:rFonts w:ascii="Times New Roman" w:hAnsi="Times New Roman" w:cs="Times New Roman"/>
                <w:color w:val="000000"/>
                <w:sz w:val="18"/>
                <w:szCs w:val="18"/>
              </w:rPr>
              <w:t>Sum</w:t>
            </w:r>
            <w:r w:rsidR="007969CB">
              <w:rPr>
                <w:rFonts w:ascii="Times New Roman" w:hAnsi="Times New Roman" w:cs="Times New Roman"/>
                <w:color w:val="000000"/>
                <w:sz w:val="18"/>
                <w:szCs w:val="18"/>
              </w:rPr>
              <w:t>a</w:t>
            </w:r>
            <w:r w:rsidRPr="005F6C3F">
              <w:rPr>
                <w:rFonts w:ascii="Times New Roman" w:hAnsi="Times New Roman" w:cs="Times New Roman"/>
                <w:color w:val="000000"/>
                <w:sz w:val="18"/>
                <w:szCs w:val="18"/>
              </w:rPr>
              <w:t xml:space="preserve"> </w:t>
            </w:r>
            <w:r w:rsidR="007969CB">
              <w:rPr>
                <w:rFonts w:ascii="Times New Roman" w:hAnsi="Times New Roman" w:cs="Times New Roman"/>
                <w:color w:val="000000"/>
                <w:sz w:val="18"/>
                <w:szCs w:val="18"/>
              </w:rPr>
              <w:t>pătratelor</w:t>
            </w:r>
          </w:p>
        </w:tc>
        <w:tc>
          <w:tcPr>
            <w:tcW w:w="1010" w:type="dxa"/>
            <w:tcBorders>
              <w:top w:val="single" w:sz="16" w:space="0" w:color="000000"/>
              <w:bottom w:val="single" w:sz="16" w:space="0" w:color="000000"/>
            </w:tcBorders>
            <w:shd w:val="clear" w:color="auto" w:fill="FFFFFF"/>
          </w:tcPr>
          <w:p w:rsidR="006D093F" w:rsidRPr="005F6C3F" w:rsidRDefault="006D093F" w:rsidP="000346B3">
            <w:pPr>
              <w:adjustRightInd w:val="0"/>
              <w:snapToGrid w:val="0"/>
              <w:spacing w:after="0" w:line="320" w:lineRule="atLeast"/>
              <w:ind w:left="60" w:right="60"/>
              <w:jc w:val="center"/>
              <w:rPr>
                <w:rFonts w:ascii="Times New Roman" w:hAnsi="Times New Roman" w:cs="Times New Roman"/>
                <w:color w:val="000000"/>
                <w:sz w:val="18"/>
                <w:szCs w:val="18"/>
              </w:rPr>
            </w:pPr>
            <w:r w:rsidRPr="005F6C3F">
              <w:rPr>
                <w:rFonts w:ascii="Times New Roman" w:hAnsi="Times New Roman" w:cs="Times New Roman"/>
                <w:color w:val="000000"/>
                <w:sz w:val="18"/>
                <w:szCs w:val="18"/>
              </w:rPr>
              <w:t>df</w:t>
            </w:r>
          </w:p>
        </w:tc>
        <w:tc>
          <w:tcPr>
            <w:tcW w:w="1392" w:type="dxa"/>
            <w:tcBorders>
              <w:top w:val="single" w:sz="16" w:space="0" w:color="000000"/>
              <w:bottom w:val="single" w:sz="16" w:space="0" w:color="000000"/>
            </w:tcBorders>
            <w:shd w:val="clear" w:color="auto" w:fill="FFFFFF"/>
          </w:tcPr>
          <w:p w:rsidR="006D093F" w:rsidRPr="005F6C3F" w:rsidRDefault="006D093F" w:rsidP="007969CB">
            <w:pPr>
              <w:adjustRightInd w:val="0"/>
              <w:snapToGrid w:val="0"/>
              <w:spacing w:after="0" w:line="320" w:lineRule="atLeast"/>
              <w:ind w:left="60" w:right="60"/>
              <w:jc w:val="center"/>
              <w:rPr>
                <w:rFonts w:ascii="Times New Roman" w:hAnsi="Times New Roman" w:cs="Times New Roman"/>
                <w:color w:val="000000"/>
                <w:sz w:val="18"/>
                <w:szCs w:val="18"/>
              </w:rPr>
            </w:pPr>
            <w:r w:rsidRPr="005F6C3F">
              <w:rPr>
                <w:rFonts w:ascii="Times New Roman" w:hAnsi="Times New Roman" w:cs="Times New Roman"/>
                <w:color w:val="000000"/>
                <w:sz w:val="18"/>
                <w:szCs w:val="18"/>
              </w:rPr>
              <w:t>Me</w:t>
            </w:r>
            <w:r w:rsidR="007969CB">
              <w:rPr>
                <w:rFonts w:ascii="Times New Roman" w:hAnsi="Times New Roman" w:cs="Times New Roman"/>
                <w:color w:val="000000"/>
                <w:sz w:val="18"/>
                <w:szCs w:val="18"/>
              </w:rPr>
              <w:t>dia pătratelor</w:t>
            </w:r>
            <w:r w:rsidRPr="005F6C3F">
              <w:rPr>
                <w:rFonts w:ascii="Times New Roman" w:hAnsi="Times New Roman" w:cs="Times New Roman"/>
                <w:color w:val="000000"/>
                <w:sz w:val="18"/>
                <w:szCs w:val="18"/>
              </w:rPr>
              <w:t xml:space="preserve"> </w:t>
            </w:r>
          </w:p>
        </w:tc>
        <w:tc>
          <w:tcPr>
            <w:tcW w:w="1010" w:type="dxa"/>
            <w:tcBorders>
              <w:top w:val="single" w:sz="16" w:space="0" w:color="000000"/>
              <w:bottom w:val="single" w:sz="16" w:space="0" w:color="000000"/>
            </w:tcBorders>
            <w:shd w:val="clear" w:color="auto" w:fill="FFFFFF"/>
          </w:tcPr>
          <w:p w:rsidR="006D093F" w:rsidRPr="005F6C3F" w:rsidRDefault="006D093F" w:rsidP="000346B3">
            <w:pPr>
              <w:adjustRightInd w:val="0"/>
              <w:snapToGrid w:val="0"/>
              <w:spacing w:after="0" w:line="320" w:lineRule="atLeast"/>
              <w:ind w:left="60" w:right="60"/>
              <w:jc w:val="center"/>
              <w:rPr>
                <w:rFonts w:ascii="Times New Roman" w:hAnsi="Times New Roman" w:cs="Times New Roman"/>
                <w:color w:val="000000"/>
                <w:sz w:val="18"/>
                <w:szCs w:val="18"/>
              </w:rPr>
            </w:pPr>
            <w:r w:rsidRPr="005F6C3F">
              <w:rPr>
                <w:rFonts w:ascii="Times New Roman" w:hAnsi="Times New Roman" w:cs="Times New Roman"/>
                <w:color w:val="000000"/>
                <w:sz w:val="18"/>
                <w:szCs w:val="18"/>
              </w:rPr>
              <w:t>F</w:t>
            </w:r>
          </w:p>
        </w:tc>
        <w:tc>
          <w:tcPr>
            <w:tcW w:w="1010" w:type="dxa"/>
            <w:tcBorders>
              <w:top w:val="single" w:sz="16" w:space="0" w:color="000000"/>
              <w:bottom w:val="single" w:sz="16" w:space="0" w:color="000000"/>
              <w:right w:val="single" w:sz="16" w:space="0" w:color="000000"/>
            </w:tcBorders>
            <w:shd w:val="clear" w:color="auto" w:fill="FFFFFF"/>
          </w:tcPr>
          <w:p w:rsidR="006D093F" w:rsidRPr="005F6C3F" w:rsidRDefault="006D093F" w:rsidP="000346B3">
            <w:pPr>
              <w:adjustRightInd w:val="0"/>
              <w:snapToGrid w:val="0"/>
              <w:spacing w:after="0" w:line="320" w:lineRule="atLeast"/>
              <w:ind w:left="60" w:right="60"/>
              <w:jc w:val="center"/>
              <w:rPr>
                <w:rFonts w:ascii="Times New Roman" w:hAnsi="Times New Roman" w:cs="Times New Roman"/>
                <w:color w:val="000000"/>
                <w:sz w:val="18"/>
                <w:szCs w:val="18"/>
              </w:rPr>
            </w:pPr>
            <w:r w:rsidRPr="005F6C3F">
              <w:rPr>
                <w:rFonts w:ascii="Times New Roman" w:hAnsi="Times New Roman" w:cs="Times New Roman"/>
                <w:color w:val="000000"/>
                <w:sz w:val="18"/>
                <w:szCs w:val="18"/>
              </w:rPr>
              <w:t>Sig.</w:t>
            </w:r>
          </w:p>
        </w:tc>
      </w:tr>
      <w:tr w:rsidR="006D093F" w:rsidRPr="005F6C3F" w:rsidTr="000346B3">
        <w:trPr>
          <w:cantSplit/>
        </w:trPr>
        <w:tc>
          <w:tcPr>
            <w:tcW w:w="733" w:type="dxa"/>
            <w:vMerge w:val="restart"/>
            <w:tcBorders>
              <w:top w:val="single" w:sz="16" w:space="0" w:color="000000"/>
              <w:left w:val="single" w:sz="16" w:space="0" w:color="000000"/>
              <w:bottom w:val="single" w:sz="16" w:space="0" w:color="000000"/>
              <w:right w:val="nil"/>
            </w:tcBorders>
            <w:shd w:val="clear" w:color="auto" w:fill="FFFFFF"/>
            <w:vAlign w:val="center"/>
          </w:tcPr>
          <w:p w:rsidR="006D093F" w:rsidRPr="005F6C3F" w:rsidRDefault="006D093F" w:rsidP="000346B3">
            <w:pPr>
              <w:adjustRightInd w:val="0"/>
              <w:snapToGrid w:val="0"/>
              <w:spacing w:after="0" w:line="320" w:lineRule="atLeast"/>
              <w:ind w:left="60" w:right="60"/>
              <w:rPr>
                <w:rFonts w:ascii="Times New Roman" w:hAnsi="Times New Roman" w:cs="Times New Roman"/>
                <w:color w:val="000000"/>
                <w:sz w:val="18"/>
                <w:szCs w:val="18"/>
              </w:rPr>
            </w:pPr>
            <w:r w:rsidRPr="005F6C3F">
              <w:rPr>
                <w:rFonts w:ascii="Times New Roman" w:hAnsi="Times New Roman" w:cs="Times New Roman"/>
                <w:color w:val="000000"/>
                <w:sz w:val="18"/>
                <w:szCs w:val="18"/>
              </w:rPr>
              <w:t>1</w:t>
            </w:r>
          </w:p>
        </w:tc>
        <w:tc>
          <w:tcPr>
            <w:tcW w:w="1269" w:type="dxa"/>
            <w:tcBorders>
              <w:top w:val="single" w:sz="16" w:space="0" w:color="000000"/>
              <w:left w:val="nil"/>
              <w:bottom w:val="nil"/>
              <w:right w:val="single" w:sz="16" w:space="0" w:color="000000"/>
            </w:tcBorders>
            <w:shd w:val="clear" w:color="auto" w:fill="FFFFFF"/>
            <w:vAlign w:val="center"/>
          </w:tcPr>
          <w:p w:rsidR="006D093F" w:rsidRPr="005F6C3F" w:rsidRDefault="006D093F" w:rsidP="007969CB">
            <w:pPr>
              <w:adjustRightInd w:val="0"/>
              <w:snapToGrid w:val="0"/>
              <w:spacing w:after="0" w:line="320" w:lineRule="atLeast"/>
              <w:ind w:left="60" w:right="60"/>
              <w:rPr>
                <w:rFonts w:ascii="Times New Roman" w:hAnsi="Times New Roman" w:cs="Times New Roman"/>
                <w:color w:val="000000"/>
                <w:sz w:val="18"/>
                <w:szCs w:val="18"/>
              </w:rPr>
            </w:pPr>
            <w:r w:rsidRPr="005F6C3F">
              <w:rPr>
                <w:rFonts w:ascii="Times New Roman" w:hAnsi="Times New Roman" w:cs="Times New Roman"/>
                <w:color w:val="000000"/>
                <w:sz w:val="18"/>
                <w:szCs w:val="18"/>
              </w:rPr>
              <w:t>Regresi</w:t>
            </w:r>
            <w:r w:rsidR="007969CB">
              <w:rPr>
                <w:rFonts w:ascii="Times New Roman" w:hAnsi="Times New Roman" w:cs="Times New Roman"/>
                <w:color w:val="000000"/>
                <w:sz w:val="18"/>
                <w:szCs w:val="18"/>
              </w:rPr>
              <w:t>e</w:t>
            </w:r>
          </w:p>
        </w:tc>
        <w:tc>
          <w:tcPr>
            <w:tcW w:w="1469" w:type="dxa"/>
            <w:tcBorders>
              <w:top w:val="single" w:sz="16" w:space="0" w:color="000000"/>
              <w:left w:val="single" w:sz="16" w:space="0" w:color="000000"/>
              <w:bottom w:val="nil"/>
            </w:tcBorders>
            <w:shd w:val="clear" w:color="auto" w:fill="FFFFFF"/>
            <w:vAlign w:val="center"/>
          </w:tcPr>
          <w:p w:rsidR="006D093F" w:rsidRPr="005F6C3F" w:rsidRDefault="006D093F" w:rsidP="000346B3">
            <w:pPr>
              <w:adjustRightInd w:val="0"/>
              <w:snapToGrid w:val="0"/>
              <w:spacing w:after="0" w:line="320" w:lineRule="atLeast"/>
              <w:ind w:left="60" w:right="60"/>
              <w:jc w:val="right"/>
              <w:rPr>
                <w:rFonts w:ascii="Times New Roman" w:hAnsi="Times New Roman" w:cs="Times New Roman"/>
                <w:color w:val="000000"/>
                <w:sz w:val="18"/>
                <w:szCs w:val="18"/>
              </w:rPr>
            </w:pPr>
            <w:r w:rsidRPr="005F6C3F">
              <w:rPr>
                <w:rFonts w:ascii="Times New Roman" w:hAnsi="Times New Roman" w:cs="Times New Roman"/>
                <w:color w:val="000000"/>
                <w:sz w:val="18"/>
                <w:szCs w:val="18"/>
              </w:rPr>
              <w:t>83,383</w:t>
            </w:r>
          </w:p>
        </w:tc>
        <w:tc>
          <w:tcPr>
            <w:tcW w:w="1010" w:type="dxa"/>
            <w:tcBorders>
              <w:top w:val="single" w:sz="16" w:space="0" w:color="000000"/>
              <w:bottom w:val="nil"/>
            </w:tcBorders>
            <w:shd w:val="clear" w:color="auto" w:fill="FFFFFF"/>
            <w:vAlign w:val="center"/>
          </w:tcPr>
          <w:p w:rsidR="006D093F" w:rsidRPr="005F6C3F" w:rsidRDefault="006D093F" w:rsidP="000346B3">
            <w:pPr>
              <w:adjustRightInd w:val="0"/>
              <w:snapToGrid w:val="0"/>
              <w:spacing w:after="0" w:line="320" w:lineRule="atLeast"/>
              <w:ind w:left="60" w:right="60"/>
              <w:jc w:val="right"/>
              <w:rPr>
                <w:rFonts w:ascii="Times New Roman" w:hAnsi="Times New Roman" w:cs="Times New Roman"/>
                <w:color w:val="000000"/>
                <w:sz w:val="18"/>
                <w:szCs w:val="18"/>
              </w:rPr>
            </w:pPr>
            <w:r w:rsidRPr="005F6C3F">
              <w:rPr>
                <w:rFonts w:ascii="Times New Roman" w:hAnsi="Times New Roman" w:cs="Times New Roman"/>
                <w:color w:val="000000"/>
                <w:sz w:val="18"/>
                <w:szCs w:val="18"/>
              </w:rPr>
              <w:t>6</w:t>
            </w:r>
          </w:p>
        </w:tc>
        <w:tc>
          <w:tcPr>
            <w:tcW w:w="1392" w:type="dxa"/>
            <w:tcBorders>
              <w:top w:val="single" w:sz="16" w:space="0" w:color="000000"/>
              <w:bottom w:val="nil"/>
            </w:tcBorders>
            <w:shd w:val="clear" w:color="auto" w:fill="FFFFFF"/>
            <w:vAlign w:val="center"/>
          </w:tcPr>
          <w:p w:rsidR="006D093F" w:rsidRPr="005F6C3F" w:rsidRDefault="006D093F" w:rsidP="000346B3">
            <w:pPr>
              <w:adjustRightInd w:val="0"/>
              <w:snapToGrid w:val="0"/>
              <w:spacing w:after="0" w:line="320" w:lineRule="atLeast"/>
              <w:ind w:left="60" w:right="60"/>
              <w:jc w:val="right"/>
              <w:rPr>
                <w:rFonts w:ascii="Times New Roman" w:hAnsi="Times New Roman" w:cs="Times New Roman"/>
                <w:color w:val="000000"/>
                <w:sz w:val="18"/>
                <w:szCs w:val="18"/>
              </w:rPr>
            </w:pPr>
            <w:r w:rsidRPr="005F6C3F">
              <w:rPr>
                <w:rFonts w:ascii="Times New Roman" w:hAnsi="Times New Roman" w:cs="Times New Roman"/>
                <w:color w:val="000000"/>
                <w:sz w:val="18"/>
                <w:szCs w:val="18"/>
              </w:rPr>
              <w:t>13,897</w:t>
            </w:r>
          </w:p>
        </w:tc>
        <w:tc>
          <w:tcPr>
            <w:tcW w:w="1010" w:type="dxa"/>
            <w:tcBorders>
              <w:top w:val="single" w:sz="16" w:space="0" w:color="000000"/>
              <w:bottom w:val="nil"/>
            </w:tcBorders>
            <w:shd w:val="clear" w:color="auto" w:fill="FFFFFF"/>
            <w:vAlign w:val="center"/>
          </w:tcPr>
          <w:p w:rsidR="006D093F" w:rsidRPr="005F6C3F" w:rsidRDefault="006D093F" w:rsidP="000346B3">
            <w:pPr>
              <w:adjustRightInd w:val="0"/>
              <w:snapToGrid w:val="0"/>
              <w:spacing w:after="0" w:line="320" w:lineRule="atLeast"/>
              <w:ind w:left="60" w:right="60"/>
              <w:jc w:val="right"/>
              <w:rPr>
                <w:rFonts w:ascii="Times New Roman" w:hAnsi="Times New Roman" w:cs="Times New Roman"/>
                <w:color w:val="000000"/>
                <w:sz w:val="18"/>
                <w:szCs w:val="18"/>
              </w:rPr>
            </w:pPr>
            <w:r w:rsidRPr="005F6C3F">
              <w:rPr>
                <w:rFonts w:ascii="Times New Roman" w:hAnsi="Times New Roman" w:cs="Times New Roman"/>
                <w:color w:val="000000"/>
                <w:sz w:val="18"/>
                <w:szCs w:val="18"/>
              </w:rPr>
              <w:t>30,236</w:t>
            </w:r>
          </w:p>
        </w:tc>
        <w:tc>
          <w:tcPr>
            <w:tcW w:w="1010" w:type="dxa"/>
            <w:tcBorders>
              <w:top w:val="single" w:sz="16" w:space="0" w:color="000000"/>
              <w:bottom w:val="nil"/>
              <w:right w:val="single" w:sz="16" w:space="0" w:color="000000"/>
            </w:tcBorders>
            <w:shd w:val="clear" w:color="auto" w:fill="FFFFFF"/>
            <w:vAlign w:val="center"/>
          </w:tcPr>
          <w:p w:rsidR="006D093F" w:rsidRPr="005F6C3F" w:rsidRDefault="006D093F" w:rsidP="000346B3">
            <w:pPr>
              <w:adjustRightInd w:val="0"/>
              <w:snapToGrid w:val="0"/>
              <w:spacing w:after="0" w:line="320" w:lineRule="atLeast"/>
              <w:ind w:left="60" w:right="60"/>
              <w:jc w:val="right"/>
              <w:rPr>
                <w:rFonts w:ascii="Times New Roman" w:hAnsi="Times New Roman" w:cs="Times New Roman"/>
                <w:color w:val="000000"/>
                <w:sz w:val="18"/>
                <w:szCs w:val="18"/>
              </w:rPr>
            </w:pPr>
            <w:r w:rsidRPr="005F6C3F">
              <w:rPr>
                <w:rFonts w:ascii="Times New Roman" w:hAnsi="Times New Roman" w:cs="Times New Roman"/>
                <w:color w:val="000000"/>
                <w:sz w:val="18"/>
                <w:szCs w:val="18"/>
              </w:rPr>
              <w:t>,000</w:t>
            </w:r>
            <w:r w:rsidRPr="005F6C3F">
              <w:rPr>
                <w:rFonts w:ascii="Times New Roman" w:hAnsi="Times New Roman" w:cs="Times New Roman"/>
                <w:color w:val="000000"/>
                <w:sz w:val="18"/>
                <w:szCs w:val="18"/>
                <w:vertAlign w:val="superscript"/>
              </w:rPr>
              <w:t>b</w:t>
            </w:r>
          </w:p>
        </w:tc>
      </w:tr>
      <w:tr w:rsidR="006D093F" w:rsidRPr="005F6C3F" w:rsidTr="000346B3">
        <w:trPr>
          <w:cantSplit/>
        </w:trPr>
        <w:tc>
          <w:tcPr>
            <w:tcW w:w="733" w:type="dxa"/>
            <w:vMerge/>
            <w:tcBorders>
              <w:top w:val="single" w:sz="16" w:space="0" w:color="000000"/>
              <w:left w:val="single" w:sz="16" w:space="0" w:color="000000"/>
              <w:bottom w:val="single" w:sz="16" w:space="0" w:color="000000"/>
              <w:right w:val="nil"/>
            </w:tcBorders>
            <w:shd w:val="clear" w:color="auto" w:fill="FFFFFF"/>
            <w:vAlign w:val="center"/>
          </w:tcPr>
          <w:p w:rsidR="006D093F" w:rsidRPr="005F6C3F" w:rsidRDefault="006D093F" w:rsidP="000346B3">
            <w:pPr>
              <w:adjustRightInd w:val="0"/>
              <w:snapToGrid w:val="0"/>
              <w:spacing w:after="0" w:line="240" w:lineRule="auto"/>
              <w:rPr>
                <w:rFonts w:ascii="Times New Roman" w:hAnsi="Times New Roman" w:cs="Times New Roman"/>
                <w:color w:val="000000"/>
                <w:sz w:val="18"/>
                <w:szCs w:val="18"/>
              </w:rPr>
            </w:pPr>
          </w:p>
        </w:tc>
        <w:tc>
          <w:tcPr>
            <w:tcW w:w="1269" w:type="dxa"/>
            <w:tcBorders>
              <w:top w:val="nil"/>
              <w:left w:val="nil"/>
              <w:bottom w:val="nil"/>
              <w:right w:val="single" w:sz="16" w:space="0" w:color="000000"/>
            </w:tcBorders>
            <w:shd w:val="clear" w:color="auto" w:fill="FFFFFF"/>
            <w:vAlign w:val="center"/>
          </w:tcPr>
          <w:p w:rsidR="006D093F" w:rsidRPr="005F6C3F" w:rsidRDefault="007969CB" w:rsidP="000346B3">
            <w:pPr>
              <w:adjustRightInd w:val="0"/>
              <w:snapToGrid w:val="0"/>
              <w:spacing w:after="0" w:line="320" w:lineRule="atLeast"/>
              <w:ind w:left="60" w:right="60"/>
              <w:rPr>
                <w:rFonts w:ascii="Times New Roman" w:hAnsi="Times New Roman" w:cs="Times New Roman"/>
                <w:color w:val="000000"/>
                <w:sz w:val="18"/>
                <w:szCs w:val="18"/>
              </w:rPr>
            </w:pPr>
            <w:r>
              <w:rPr>
                <w:rFonts w:ascii="Times New Roman" w:hAnsi="Times New Roman" w:cs="Times New Roman"/>
                <w:color w:val="000000"/>
                <w:sz w:val="18"/>
                <w:szCs w:val="18"/>
              </w:rPr>
              <w:t>Valoare Rez</w:t>
            </w:r>
            <w:r w:rsidR="006D093F" w:rsidRPr="005F6C3F">
              <w:rPr>
                <w:rFonts w:ascii="Times New Roman" w:hAnsi="Times New Roman" w:cs="Times New Roman"/>
                <w:color w:val="000000"/>
                <w:sz w:val="18"/>
                <w:szCs w:val="18"/>
              </w:rPr>
              <w:t>idual</w:t>
            </w:r>
            <w:r>
              <w:rPr>
                <w:rFonts w:ascii="Times New Roman" w:hAnsi="Times New Roman" w:cs="Times New Roman"/>
                <w:color w:val="000000"/>
                <w:sz w:val="18"/>
                <w:szCs w:val="18"/>
              </w:rPr>
              <w:t>ă</w:t>
            </w:r>
          </w:p>
        </w:tc>
        <w:tc>
          <w:tcPr>
            <w:tcW w:w="1469" w:type="dxa"/>
            <w:tcBorders>
              <w:top w:val="nil"/>
              <w:left w:val="single" w:sz="16" w:space="0" w:color="000000"/>
              <w:bottom w:val="nil"/>
            </w:tcBorders>
            <w:shd w:val="clear" w:color="auto" w:fill="FFFFFF"/>
            <w:vAlign w:val="center"/>
          </w:tcPr>
          <w:p w:rsidR="006D093F" w:rsidRPr="005F6C3F" w:rsidRDefault="006D093F" w:rsidP="000346B3">
            <w:pPr>
              <w:adjustRightInd w:val="0"/>
              <w:snapToGrid w:val="0"/>
              <w:spacing w:after="0" w:line="320" w:lineRule="atLeast"/>
              <w:ind w:left="60" w:right="60"/>
              <w:jc w:val="right"/>
              <w:rPr>
                <w:rFonts w:ascii="Times New Roman" w:hAnsi="Times New Roman" w:cs="Times New Roman"/>
                <w:color w:val="000000"/>
                <w:sz w:val="18"/>
                <w:szCs w:val="18"/>
              </w:rPr>
            </w:pPr>
            <w:r w:rsidRPr="005F6C3F">
              <w:rPr>
                <w:rFonts w:ascii="Times New Roman" w:hAnsi="Times New Roman" w:cs="Times New Roman"/>
                <w:color w:val="000000"/>
                <w:sz w:val="18"/>
                <w:szCs w:val="18"/>
              </w:rPr>
              <w:t>175,574</w:t>
            </w:r>
          </w:p>
        </w:tc>
        <w:tc>
          <w:tcPr>
            <w:tcW w:w="1010" w:type="dxa"/>
            <w:tcBorders>
              <w:top w:val="nil"/>
              <w:bottom w:val="nil"/>
            </w:tcBorders>
            <w:shd w:val="clear" w:color="auto" w:fill="FFFFFF"/>
            <w:vAlign w:val="center"/>
          </w:tcPr>
          <w:p w:rsidR="006D093F" w:rsidRPr="005F6C3F" w:rsidRDefault="006D093F" w:rsidP="000346B3">
            <w:pPr>
              <w:adjustRightInd w:val="0"/>
              <w:snapToGrid w:val="0"/>
              <w:spacing w:after="0" w:line="320" w:lineRule="atLeast"/>
              <w:ind w:left="60" w:right="60"/>
              <w:jc w:val="right"/>
              <w:rPr>
                <w:rFonts w:ascii="Times New Roman" w:hAnsi="Times New Roman" w:cs="Times New Roman"/>
                <w:color w:val="000000"/>
                <w:sz w:val="18"/>
                <w:szCs w:val="18"/>
              </w:rPr>
            </w:pPr>
            <w:r w:rsidRPr="005F6C3F">
              <w:rPr>
                <w:rFonts w:ascii="Times New Roman" w:hAnsi="Times New Roman" w:cs="Times New Roman"/>
                <w:color w:val="000000"/>
                <w:sz w:val="18"/>
                <w:szCs w:val="18"/>
              </w:rPr>
              <w:t>382</w:t>
            </w:r>
          </w:p>
        </w:tc>
        <w:tc>
          <w:tcPr>
            <w:tcW w:w="1392" w:type="dxa"/>
            <w:tcBorders>
              <w:top w:val="nil"/>
              <w:bottom w:val="nil"/>
            </w:tcBorders>
            <w:shd w:val="clear" w:color="auto" w:fill="FFFFFF"/>
            <w:vAlign w:val="center"/>
          </w:tcPr>
          <w:p w:rsidR="006D093F" w:rsidRPr="005F6C3F" w:rsidRDefault="006D093F" w:rsidP="000346B3">
            <w:pPr>
              <w:adjustRightInd w:val="0"/>
              <w:snapToGrid w:val="0"/>
              <w:spacing w:after="0" w:line="320" w:lineRule="atLeast"/>
              <w:ind w:left="60" w:right="60"/>
              <w:jc w:val="right"/>
              <w:rPr>
                <w:rFonts w:ascii="Times New Roman" w:hAnsi="Times New Roman" w:cs="Times New Roman"/>
                <w:color w:val="000000"/>
                <w:sz w:val="18"/>
                <w:szCs w:val="18"/>
              </w:rPr>
            </w:pPr>
            <w:r w:rsidRPr="005F6C3F">
              <w:rPr>
                <w:rFonts w:ascii="Times New Roman" w:hAnsi="Times New Roman" w:cs="Times New Roman"/>
                <w:color w:val="000000"/>
                <w:sz w:val="18"/>
                <w:szCs w:val="18"/>
              </w:rPr>
              <w:t>,460</w:t>
            </w:r>
          </w:p>
        </w:tc>
        <w:tc>
          <w:tcPr>
            <w:tcW w:w="1010" w:type="dxa"/>
            <w:tcBorders>
              <w:top w:val="nil"/>
              <w:bottom w:val="nil"/>
            </w:tcBorders>
            <w:shd w:val="clear" w:color="auto" w:fill="FFFFFF"/>
          </w:tcPr>
          <w:p w:rsidR="006D093F" w:rsidRPr="005F6C3F" w:rsidRDefault="006D093F" w:rsidP="000346B3">
            <w:pPr>
              <w:adjustRightInd w:val="0"/>
              <w:snapToGrid w:val="0"/>
              <w:spacing w:after="0" w:line="240" w:lineRule="auto"/>
              <w:rPr>
                <w:rFonts w:ascii="Times New Roman" w:hAnsi="Times New Roman" w:cs="Times New Roman"/>
                <w:sz w:val="24"/>
                <w:szCs w:val="24"/>
              </w:rPr>
            </w:pPr>
          </w:p>
        </w:tc>
        <w:tc>
          <w:tcPr>
            <w:tcW w:w="1010" w:type="dxa"/>
            <w:tcBorders>
              <w:top w:val="nil"/>
              <w:bottom w:val="nil"/>
              <w:right w:val="single" w:sz="16" w:space="0" w:color="000000"/>
            </w:tcBorders>
            <w:shd w:val="clear" w:color="auto" w:fill="FFFFFF"/>
          </w:tcPr>
          <w:p w:rsidR="006D093F" w:rsidRPr="005F6C3F" w:rsidRDefault="006D093F" w:rsidP="000346B3">
            <w:pPr>
              <w:adjustRightInd w:val="0"/>
              <w:snapToGrid w:val="0"/>
              <w:spacing w:after="0" w:line="240" w:lineRule="auto"/>
              <w:rPr>
                <w:rFonts w:ascii="Times New Roman" w:hAnsi="Times New Roman" w:cs="Times New Roman"/>
                <w:sz w:val="24"/>
                <w:szCs w:val="24"/>
              </w:rPr>
            </w:pPr>
          </w:p>
        </w:tc>
      </w:tr>
      <w:tr w:rsidR="006D093F" w:rsidRPr="005F6C3F" w:rsidTr="000346B3">
        <w:trPr>
          <w:cantSplit/>
        </w:trPr>
        <w:tc>
          <w:tcPr>
            <w:tcW w:w="733" w:type="dxa"/>
            <w:vMerge/>
            <w:tcBorders>
              <w:top w:val="single" w:sz="16" w:space="0" w:color="000000"/>
              <w:left w:val="single" w:sz="16" w:space="0" w:color="000000"/>
              <w:bottom w:val="single" w:sz="16" w:space="0" w:color="000000"/>
              <w:right w:val="nil"/>
            </w:tcBorders>
            <w:shd w:val="clear" w:color="auto" w:fill="FFFFFF"/>
            <w:vAlign w:val="center"/>
          </w:tcPr>
          <w:p w:rsidR="006D093F" w:rsidRPr="005F6C3F" w:rsidRDefault="006D093F" w:rsidP="000346B3">
            <w:pPr>
              <w:adjustRightInd w:val="0"/>
              <w:snapToGrid w:val="0"/>
              <w:spacing w:after="0" w:line="240" w:lineRule="auto"/>
              <w:rPr>
                <w:rFonts w:ascii="Times New Roman" w:hAnsi="Times New Roman" w:cs="Times New Roman"/>
                <w:sz w:val="24"/>
                <w:szCs w:val="24"/>
              </w:rPr>
            </w:pPr>
          </w:p>
        </w:tc>
        <w:tc>
          <w:tcPr>
            <w:tcW w:w="1269" w:type="dxa"/>
            <w:tcBorders>
              <w:top w:val="nil"/>
              <w:left w:val="nil"/>
              <w:bottom w:val="single" w:sz="16" w:space="0" w:color="000000"/>
              <w:right w:val="single" w:sz="16" w:space="0" w:color="000000"/>
            </w:tcBorders>
            <w:shd w:val="clear" w:color="auto" w:fill="FFFFFF"/>
            <w:vAlign w:val="center"/>
          </w:tcPr>
          <w:p w:rsidR="006D093F" w:rsidRPr="005F6C3F" w:rsidRDefault="006D093F" w:rsidP="000346B3">
            <w:pPr>
              <w:adjustRightInd w:val="0"/>
              <w:snapToGrid w:val="0"/>
              <w:spacing w:after="0" w:line="320" w:lineRule="atLeast"/>
              <w:ind w:left="60" w:right="60"/>
              <w:rPr>
                <w:rFonts w:ascii="Times New Roman" w:hAnsi="Times New Roman" w:cs="Times New Roman"/>
                <w:color w:val="000000"/>
                <w:sz w:val="18"/>
                <w:szCs w:val="18"/>
              </w:rPr>
            </w:pPr>
            <w:r w:rsidRPr="005F6C3F">
              <w:rPr>
                <w:rFonts w:ascii="Times New Roman" w:hAnsi="Times New Roman" w:cs="Times New Roman"/>
                <w:color w:val="000000"/>
                <w:sz w:val="18"/>
                <w:szCs w:val="18"/>
              </w:rPr>
              <w:t>Total</w:t>
            </w:r>
          </w:p>
        </w:tc>
        <w:tc>
          <w:tcPr>
            <w:tcW w:w="1469" w:type="dxa"/>
            <w:tcBorders>
              <w:top w:val="nil"/>
              <w:left w:val="single" w:sz="16" w:space="0" w:color="000000"/>
              <w:bottom w:val="single" w:sz="16" w:space="0" w:color="000000"/>
            </w:tcBorders>
            <w:shd w:val="clear" w:color="auto" w:fill="FFFFFF"/>
            <w:vAlign w:val="center"/>
          </w:tcPr>
          <w:p w:rsidR="006D093F" w:rsidRPr="005F6C3F" w:rsidRDefault="006D093F" w:rsidP="000346B3">
            <w:pPr>
              <w:adjustRightInd w:val="0"/>
              <w:snapToGrid w:val="0"/>
              <w:spacing w:after="0" w:line="320" w:lineRule="atLeast"/>
              <w:ind w:left="60" w:right="60"/>
              <w:jc w:val="right"/>
              <w:rPr>
                <w:rFonts w:ascii="Times New Roman" w:hAnsi="Times New Roman" w:cs="Times New Roman"/>
                <w:color w:val="000000"/>
                <w:sz w:val="18"/>
                <w:szCs w:val="18"/>
              </w:rPr>
            </w:pPr>
            <w:r w:rsidRPr="005F6C3F">
              <w:rPr>
                <w:rFonts w:ascii="Times New Roman" w:hAnsi="Times New Roman" w:cs="Times New Roman"/>
                <w:color w:val="000000"/>
                <w:sz w:val="18"/>
                <w:szCs w:val="18"/>
              </w:rPr>
              <w:t>258,956</w:t>
            </w:r>
          </w:p>
        </w:tc>
        <w:tc>
          <w:tcPr>
            <w:tcW w:w="1010" w:type="dxa"/>
            <w:tcBorders>
              <w:top w:val="nil"/>
              <w:bottom w:val="single" w:sz="16" w:space="0" w:color="000000"/>
            </w:tcBorders>
            <w:shd w:val="clear" w:color="auto" w:fill="FFFFFF"/>
            <w:vAlign w:val="center"/>
          </w:tcPr>
          <w:p w:rsidR="006D093F" w:rsidRPr="005F6C3F" w:rsidRDefault="006D093F" w:rsidP="000346B3">
            <w:pPr>
              <w:adjustRightInd w:val="0"/>
              <w:snapToGrid w:val="0"/>
              <w:spacing w:after="0" w:line="320" w:lineRule="atLeast"/>
              <w:ind w:left="60" w:right="60"/>
              <w:jc w:val="right"/>
              <w:rPr>
                <w:rFonts w:ascii="Times New Roman" w:hAnsi="Times New Roman" w:cs="Times New Roman"/>
                <w:color w:val="000000"/>
                <w:sz w:val="18"/>
                <w:szCs w:val="18"/>
              </w:rPr>
            </w:pPr>
            <w:r w:rsidRPr="005F6C3F">
              <w:rPr>
                <w:rFonts w:ascii="Times New Roman" w:hAnsi="Times New Roman" w:cs="Times New Roman"/>
                <w:color w:val="000000"/>
                <w:sz w:val="18"/>
                <w:szCs w:val="18"/>
              </w:rPr>
              <w:t>388</w:t>
            </w:r>
          </w:p>
        </w:tc>
        <w:tc>
          <w:tcPr>
            <w:tcW w:w="1392" w:type="dxa"/>
            <w:tcBorders>
              <w:top w:val="nil"/>
              <w:bottom w:val="single" w:sz="16" w:space="0" w:color="000000"/>
            </w:tcBorders>
            <w:shd w:val="clear" w:color="auto" w:fill="FFFFFF"/>
          </w:tcPr>
          <w:p w:rsidR="006D093F" w:rsidRPr="005F6C3F" w:rsidRDefault="006D093F" w:rsidP="000346B3">
            <w:pPr>
              <w:adjustRightInd w:val="0"/>
              <w:snapToGrid w:val="0"/>
              <w:spacing w:after="0" w:line="240" w:lineRule="auto"/>
              <w:rPr>
                <w:rFonts w:ascii="Times New Roman" w:hAnsi="Times New Roman" w:cs="Times New Roman"/>
                <w:sz w:val="24"/>
                <w:szCs w:val="24"/>
              </w:rPr>
            </w:pPr>
          </w:p>
        </w:tc>
        <w:tc>
          <w:tcPr>
            <w:tcW w:w="1010" w:type="dxa"/>
            <w:tcBorders>
              <w:top w:val="nil"/>
              <w:bottom w:val="single" w:sz="16" w:space="0" w:color="000000"/>
            </w:tcBorders>
            <w:shd w:val="clear" w:color="auto" w:fill="FFFFFF"/>
          </w:tcPr>
          <w:p w:rsidR="006D093F" w:rsidRPr="005F6C3F" w:rsidRDefault="006D093F" w:rsidP="000346B3">
            <w:pPr>
              <w:adjustRightInd w:val="0"/>
              <w:snapToGrid w:val="0"/>
              <w:spacing w:after="0" w:line="240" w:lineRule="auto"/>
              <w:rPr>
                <w:rFonts w:ascii="Times New Roman" w:hAnsi="Times New Roman" w:cs="Times New Roman"/>
                <w:sz w:val="24"/>
                <w:szCs w:val="24"/>
              </w:rPr>
            </w:pPr>
          </w:p>
        </w:tc>
        <w:tc>
          <w:tcPr>
            <w:tcW w:w="1010" w:type="dxa"/>
            <w:tcBorders>
              <w:top w:val="nil"/>
              <w:bottom w:val="single" w:sz="16" w:space="0" w:color="000000"/>
              <w:right w:val="single" w:sz="16" w:space="0" w:color="000000"/>
            </w:tcBorders>
            <w:shd w:val="clear" w:color="auto" w:fill="FFFFFF"/>
          </w:tcPr>
          <w:p w:rsidR="006D093F" w:rsidRPr="005F6C3F" w:rsidRDefault="006D093F" w:rsidP="000346B3">
            <w:pPr>
              <w:adjustRightInd w:val="0"/>
              <w:snapToGrid w:val="0"/>
              <w:spacing w:after="0" w:line="240" w:lineRule="auto"/>
              <w:rPr>
                <w:rFonts w:ascii="Times New Roman" w:hAnsi="Times New Roman" w:cs="Times New Roman"/>
                <w:sz w:val="24"/>
                <w:szCs w:val="24"/>
              </w:rPr>
            </w:pPr>
          </w:p>
        </w:tc>
      </w:tr>
    </w:tbl>
    <w:p w:rsidR="006D093F" w:rsidRPr="005F6C3F" w:rsidRDefault="006D093F" w:rsidP="006D093F">
      <w:pPr>
        <w:adjustRightInd w:val="0"/>
        <w:snapToGrid w:val="0"/>
        <w:jc w:val="both"/>
      </w:pPr>
    </w:p>
    <w:tbl>
      <w:tblPr>
        <w:tblW w:w="1054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36"/>
        <w:gridCol w:w="2146"/>
        <w:gridCol w:w="810"/>
        <w:gridCol w:w="811"/>
        <w:gridCol w:w="1135"/>
        <w:gridCol w:w="648"/>
        <w:gridCol w:w="648"/>
        <w:gridCol w:w="973"/>
        <w:gridCol w:w="973"/>
        <w:gridCol w:w="811"/>
        <w:gridCol w:w="653"/>
      </w:tblGrid>
      <w:tr w:rsidR="006D093F" w:rsidRPr="005F6C3F" w:rsidTr="000346B3">
        <w:trPr>
          <w:cantSplit/>
          <w:trHeight w:val="194"/>
        </w:trPr>
        <w:tc>
          <w:tcPr>
            <w:tcW w:w="10544" w:type="dxa"/>
            <w:gridSpan w:val="11"/>
            <w:tcBorders>
              <w:top w:val="nil"/>
              <w:left w:val="nil"/>
              <w:bottom w:val="nil"/>
              <w:right w:val="nil"/>
            </w:tcBorders>
            <w:shd w:val="clear" w:color="auto" w:fill="FFFFFF"/>
          </w:tcPr>
          <w:p w:rsidR="006D093F" w:rsidRPr="005F6C3F" w:rsidRDefault="007969CB" w:rsidP="000346B3">
            <w:pPr>
              <w:adjustRightInd w:val="0"/>
              <w:snapToGrid w:val="0"/>
              <w:spacing w:after="0" w:line="240" w:lineRule="auto"/>
              <w:jc w:val="center"/>
              <w:rPr>
                <w:rFonts w:ascii="Times New Roman" w:hAnsi="Times New Roman" w:cs="Times New Roman"/>
                <w:color w:val="000000"/>
                <w:sz w:val="16"/>
                <w:szCs w:val="16"/>
              </w:rPr>
            </w:pPr>
            <w:r>
              <w:rPr>
                <w:rFonts w:ascii="Times New Roman" w:hAnsi="Times New Roman" w:cs="Times New Roman"/>
                <w:b/>
                <w:bCs/>
                <w:color w:val="000000"/>
                <w:sz w:val="16"/>
                <w:szCs w:val="16"/>
              </w:rPr>
              <w:t>Coeficienti</w:t>
            </w:r>
            <w:r w:rsidR="006D093F" w:rsidRPr="005F6C3F">
              <w:rPr>
                <w:rFonts w:ascii="Times New Roman" w:hAnsi="Times New Roman" w:cs="Times New Roman"/>
                <w:b/>
                <w:bCs/>
                <w:color w:val="000000"/>
                <w:sz w:val="16"/>
                <w:szCs w:val="16"/>
                <w:vertAlign w:val="superscript"/>
              </w:rPr>
              <w:t>a</w:t>
            </w:r>
          </w:p>
        </w:tc>
      </w:tr>
      <w:tr w:rsidR="006D093F" w:rsidRPr="005F6C3F" w:rsidTr="000346B3">
        <w:trPr>
          <w:cantSplit/>
          <w:trHeight w:val="381"/>
        </w:trPr>
        <w:tc>
          <w:tcPr>
            <w:tcW w:w="3082" w:type="dxa"/>
            <w:gridSpan w:val="2"/>
            <w:vMerge w:val="restart"/>
            <w:tcBorders>
              <w:top w:val="single" w:sz="16" w:space="0" w:color="000000"/>
              <w:left w:val="single" w:sz="16" w:space="0" w:color="000000"/>
              <w:bottom w:val="nil"/>
              <w:right w:val="nil"/>
            </w:tcBorders>
            <w:shd w:val="clear" w:color="auto" w:fill="FFFFFF"/>
          </w:tcPr>
          <w:p w:rsidR="006D093F" w:rsidRPr="005F6C3F" w:rsidRDefault="006D093F" w:rsidP="000346B3">
            <w:pPr>
              <w:adjustRightInd w:val="0"/>
              <w:snapToGrid w:val="0"/>
              <w:spacing w:after="0" w:line="240" w:lineRule="auto"/>
              <w:rPr>
                <w:rFonts w:ascii="Times New Roman" w:hAnsi="Times New Roman" w:cs="Times New Roman"/>
                <w:color w:val="000000"/>
                <w:sz w:val="16"/>
                <w:szCs w:val="16"/>
              </w:rPr>
            </w:pPr>
            <w:r w:rsidRPr="005F6C3F">
              <w:rPr>
                <w:rFonts w:ascii="Times New Roman" w:hAnsi="Times New Roman" w:cs="Times New Roman"/>
                <w:color w:val="000000"/>
                <w:sz w:val="16"/>
                <w:szCs w:val="16"/>
              </w:rPr>
              <w:t>Model</w:t>
            </w:r>
          </w:p>
        </w:tc>
        <w:tc>
          <w:tcPr>
            <w:tcW w:w="1621" w:type="dxa"/>
            <w:gridSpan w:val="2"/>
            <w:tcBorders>
              <w:top w:val="single" w:sz="16" w:space="0" w:color="000000"/>
              <w:left w:val="single" w:sz="16" w:space="0" w:color="000000"/>
            </w:tcBorders>
            <w:shd w:val="clear" w:color="auto" w:fill="FFFFFF"/>
          </w:tcPr>
          <w:p w:rsidR="006D093F" w:rsidRPr="005F6C3F" w:rsidRDefault="007969CB" w:rsidP="007969CB">
            <w:pPr>
              <w:adjustRightInd w:val="0"/>
              <w:snapToGri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Coeficienti nestandardizați</w:t>
            </w:r>
          </w:p>
        </w:tc>
        <w:tc>
          <w:tcPr>
            <w:tcW w:w="1135" w:type="dxa"/>
            <w:tcBorders>
              <w:top w:val="single" w:sz="16" w:space="0" w:color="000000"/>
            </w:tcBorders>
            <w:shd w:val="clear" w:color="auto" w:fill="FFFFFF"/>
          </w:tcPr>
          <w:p w:rsidR="006D093F" w:rsidRPr="005F6C3F" w:rsidRDefault="007969CB" w:rsidP="000346B3">
            <w:pPr>
              <w:adjustRightInd w:val="0"/>
              <w:snapToGri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Coeficienti standardizați</w:t>
            </w:r>
          </w:p>
        </w:tc>
        <w:tc>
          <w:tcPr>
            <w:tcW w:w="648" w:type="dxa"/>
            <w:vMerge w:val="restart"/>
            <w:tcBorders>
              <w:top w:val="single" w:sz="16" w:space="0" w:color="000000"/>
            </w:tcBorders>
            <w:shd w:val="clear" w:color="auto" w:fill="FFFFFF"/>
          </w:tcPr>
          <w:p w:rsidR="006D093F" w:rsidRPr="005F6C3F" w:rsidRDefault="006D093F" w:rsidP="000346B3">
            <w:pPr>
              <w:adjustRightInd w:val="0"/>
              <w:snapToGrid w:val="0"/>
              <w:spacing w:after="0" w:line="240" w:lineRule="auto"/>
              <w:jc w:val="center"/>
              <w:rPr>
                <w:rFonts w:ascii="Times New Roman" w:hAnsi="Times New Roman" w:cs="Times New Roman"/>
                <w:color w:val="000000"/>
                <w:sz w:val="16"/>
                <w:szCs w:val="16"/>
              </w:rPr>
            </w:pPr>
            <w:r w:rsidRPr="005F6C3F">
              <w:rPr>
                <w:rFonts w:ascii="Times New Roman" w:hAnsi="Times New Roman" w:cs="Times New Roman"/>
                <w:color w:val="000000"/>
                <w:sz w:val="16"/>
                <w:szCs w:val="16"/>
              </w:rPr>
              <w:t>t</w:t>
            </w:r>
          </w:p>
        </w:tc>
        <w:tc>
          <w:tcPr>
            <w:tcW w:w="648" w:type="dxa"/>
            <w:vMerge w:val="restart"/>
            <w:tcBorders>
              <w:top w:val="single" w:sz="16" w:space="0" w:color="000000"/>
            </w:tcBorders>
            <w:shd w:val="clear" w:color="auto" w:fill="FFFFFF"/>
          </w:tcPr>
          <w:p w:rsidR="006D093F" w:rsidRPr="005F6C3F" w:rsidRDefault="006D093F" w:rsidP="000346B3">
            <w:pPr>
              <w:adjustRightInd w:val="0"/>
              <w:snapToGrid w:val="0"/>
              <w:spacing w:after="0" w:line="240" w:lineRule="auto"/>
              <w:jc w:val="center"/>
              <w:rPr>
                <w:rFonts w:ascii="Times New Roman" w:hAnsi="Times New Roman" w:cs="Times New Roman"/>
                <w:color w:val="000000"/>
                <w:sz w:val="16"/>
                <w:szCs w:val="16"/>
              </w:rPr>
            </w:pPr>
            <w:r w:rsidRPr="005F6C3F">
              <w:rPr>
                <w:rFonts w:ascii="Times New Roman" w:hAnsi="Times New Roman" w:cs="Times New Roman"/>
                <w:color w:val="000000"/>
                <w:sz w:val="16"/>
                <w:szCs w:val="16"/>
              </w:rPr>
              <w:t>Sig.</w:t>
            </w:r>
          </w:p>
        </w:tc>
        <w:tc>
          <w:tcPr>
            <w:tcW w:w="1946" w:type="dxa"/>
            <w:gridSpan w:val="2"/>
            <w:tcBorders>
              <w:top w:val="single" w:sz="16" w:space="0" w:color="000000"/>
            </w:tcBorders>
            <w:shd w:val="clear" w:color="auto" w:fill="FFFFFF"/>
          </w:tcPr>
          <w:p w:rsidR="006D093F" w:rsidRPr="005F6C3F" w:rsidRDefault="006D093F" w:rsidP="007969CB">
            <w:pPr>
              <w:adjustRightInd w:val="0"/>
              <w:snapToGrid w:val="0"/>
              <w:spacing w:after="0" w:line="240" w:lineRule="auto"/>
              <w:jc w:val="center"/>
              <w:rPr>
                <w:rFonts w:ascii="Times New Roman" w:hAnsi="Times New Roman" w:cs="Times New Roman"/>
                <w:color w:val="000000"/>
                <w:sz w:val="16"/>
                <w:szCs w:val="16"/>
              </w:rPr>
            </w:pPr>
            <w:r w:rsidRPr="005F6C3F">
              <w:rPr>
                <w:rFonts w:ascii="Times New Roman" w:hAnsi="Times New Roman" w:cs="Times New Roman"/>
                <w:color w:val="000000"/>
                <w:sz w:val="16"/>
                <w:szCs w:val="16"/>
              </w:rPr>
              <w:t xml:space="preserve">95,0% </w:t>
            </w:r>
            <w:r w:rsidR="007969CB">
              <w:rPr>
                <w:rFonts w:ascii="Times New Roman" w:hAnsi="Times New Roman" w:cs="Times New Roman"/>
                <w:color w:val="000000"/>
                <w:sz w:val="16"/>
                <w:szCs w:val="16"/>
              </w:rPr>
              <w:t>Interval de încredere pentru</w:t>
            </w:r>
            <w:r w:rsidRPr="005F6C3F">
              <w:rPr>
                <w:rFonts w:ascii="Times New Roman" w:hAnsi="Times New Roman" w:cs="Times New Roman"/>
                <w:color w:val="000000"/>
                <w:sz w:val="16"/>
                <w:szCs w:val="16"/>
              </w:rPr>
              <w:t xml:space="preserve"> B</w:t>
            </w:r>
          </w:p>
        </w:tc>
        <w:tc>
          <w:tcPr>
            <w:tcW w:w="1460" w:type="dxa"/>
            <w:gridSpan w:val="2"/>
            <w:tcBorders>
              <w:top w:val="single" w:sz="16" w:space="0" w:color="000000"/>
            </w:tcBorders>
            <w:shd w:val="clear" w:color="auto" w:fill="FFFFFF"/>
          </w:tcPr>
          <w:p w:rsidR="006D093F" w:rsidRPr="005F6C3F" w:rsidRDefault="007969CB" w:rsidP="007969CB">
            <w:pPr>
              <w:adjustRightInd w:val="0"/>
              <w:snapToGri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Colinearitate</w:t>
            </w:r>
            <w:r w:rsidR="006D093F" w:rsidRPr="005F6C3F">
              <w:rPr>
                <w:rFonts w:ascii="Times New Roman" w:hAnsi="Times New Roman" w:cs="Times New Roman"/>
                <w:color w:val="000000"/>
                <w:sz w:val="16"/>
                <w:szCs w:val="16"/>
              </w:rPr>
              <w:t xml:space="preserve"> Statistic</w:t>
            </w:r>
            <w:r>
              <w:rPr>
                <w:rFonts w:ascii="Times New Roman" w:hAnsi="Times New Roman" w:cs="Times New Roman"/>
                <w:color w:val="000000"/>
                <w:sz w:val="16"/>
                <w:szCs w:val="16"/>
              </w:rPr>
              <w:t>i</w:t>
            </w:r>
          </w:p>
        </w:tc>
      </w:tr>
      <w:tr w:rsidR="006D093F" w:rsidRPr="005F6C3F" w:rsidTr="000346B3">
        <w:trPr>
          <w:cantSplit/>
          <w:trHeight w:val="149"/>
        </w:trPr>
        <w:tc>
          <w:tcPr>
            <w:tcW w:w="3082" w:type="dxa"/>
            <w:gridSpan w:val="2"/>
            <w:vMerge/>
            <w:tcBorders>
              <w:top w:val="single" w:sz="16" w:space="0" w:color="000000"/>
              <w:left w:val="single" w:sz="16" w:space="0" w:color="000000"/>
              <w:bottom w:val="nil"/>
              <w:right w:val="nil"/>
            </w:tcBorders>
            <w:shd w:val="clear" w:color="auto" w:fill="FFFFFF"/>
          </w:tcPr>
          <w:p w:rsidR="006D093F" w:rsidRPr="005F6C3F" w:rsidRDefault="006D093F" w:rsidP="000346B3">
            <w:pPr>
              <w:adjustRightInd w:val="0"/>
              <w:snapToGrid w:val="0"/>
              <w:spacing w:after="0" w:line="240" w:lineRule="auto"/>
              <w:rPr>
                <w:rFonts w:ascii="Times New Roman" w:hAnsi="Times New Roman" w:cs="Times New Roman"/>
                <w:color w:val="000000"/>
                <w:sz w:val="16"/>
                <w:szCs w:val="16"/>
              </w:rPr>
            </w:pPr>
          </w:p>
        </w:tc>
        <w:tc>
          <w:tcPr>
            <w:tcW w:w="810" w:type="dxa"/>
            <w:tcBorders>
              <w:left w:val="single" w:sz="16" w:space="0" w:color="000000"/>
              <w:bottom w:val="single" w:sz="16" w:space="0" w:color="000000"/>
            </w:tcBorders>
            <w:shd w:val="clear" w:color="auto" w:fill="FFFFFF"/>
          </w:tcPr>
          <w:p w:rsidR="006D093F" w:rsidRPr="005F6C3F" w:rsidRDefault="006D093F" w:rsidP="000346B3">
            <w:pPr>
              <w:adjustRightInd w:val="0"/>
              <w:snapToGrid w:val="0"/>
              <w:spacing w:after="0" w:line="240" w:lineRule="auto"/>
              <w:jc w:val="center"/>
              <w:rPr>
                <w:rFonts w:ascii="Times New Roman" w:hAnsi="Times New Roman" w:cs="Times New Roman"/>
                <w:color w:val="000000"/>
                <w:sz w:val="16"/>
                <w:szCs w:val="16"/>
              </w:rPr>
            </w:pPr>
            <w:r w:rsidRPr="005F6C3F">
              <w:rPr>
                <w:rFonts w:ascii="Times New Roman" w:hAnsi="Times New Roman" w:cs="Times New Roman"/>
                <w:color w:val="000000"/>
                <w:sz w:val="16"/>
                <w:szCs w:val="16"/>
              </w:rPr>
              <w:t>B</w:t>
            </w:r>
          </w:p>
        </w:tc>
        <w:tc>
          <w:tcPr>
            <w:tcW w:w="811" w:type="dxa"/>
            <w:tcBorders>
              <w:bottom w:val="single" w:sz="16" w:space="0" w:color="000000"/>
            </w:tcBorders>
            <w:shd w:val="clear" w:color="auto" w:fill="FFFFFF"/>
          </w:tcPr>
          <w:p w:rsidR="006D093F" w:rsidRPr="005F6C3F" w:rsidRDefault="007969CB" w:rsidP="000346B3">
            <w:pPr>
              <w:adjustRightInd w:val="0"/>
              <w:snapToGri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E</w:t>
            </w:r>
            <w:r w:rsidR="006D093F" w:rsidRPr="005F6C3F">
              <w:rPr>
                <w:rFonts w:ascii="Times New Roman" w:hAnsi="Times New Roman" w:cs="Times New Roman"/>
                <w:color w:val="000000"/>
                <w:sz w:val="16"/>
                <w:szCs w:val="16"/>
              </w:rPr>
              <w:t>ro</w:t>
            </w:r>
            <w:r>
              <w:rPr>
                <w:rFonts w:ascii="Times New Roman" w:hAnsi="Times New Roman" w:cs="Times New Roman"/>
                <w:color w:val="000000"/>
                <w:sz w:val="16"/>
                <w:szCs w:val="16"/>
              </w:rPr>
              <w:t>a</w:t>
            </w:r>
            <w:r w:rsidR="006D093F" w:rsidRPr="005F6C3F">
              <w:rPr>
                <w:rFonts w:ascii="Times New Roman" w:hAnsi="Times New Roman" w:cs="Times New Roman"/>
                <w:color w:val="000000"/>
                <w:sz w:val="16"/>
                <w:szCs w:val="16"/>
              </w:rPr>
              <w:t>r</w:t>
            </w:r>
            <w:r>
              <w:rPr>
                <w:rFonts w:ascii="Times New Roman" w:hAnsi="Times New Roman" w:cs="Times New Roman"/>
                <w:color w:val="000000"/>
                <w:sz w:val="16"/>
                <w:szCs w:val="16"/>
              </w:rPr>
              <w:t>e standard</w:t>
            </w:r>
          </w:p>
        </w:tc>
        <w:tc>
          <w:tcPr>
            <w:tcW w:w="1135" w:type="dxa"/>
            <w:tcBorders>
              <w:bottom w:val="single" w:sz="16" w:space="0" w:color="000000"/>
            </w:tcBorders>
            <w:shd w:val="clear" w:color="auto" w:fill="FFFFFF"/>
          </w:tcPr>
          <w:p w:rsidR="006D093F" w:rsidRPr="005F6C3F" w:rsidRDefault="006D093F" w:rsidP="000346B3">
            <w:pPr>
              <w:adjustRightInd w:val="0"/>
              <w:snapToGrid w:val="0"/>
              <w:spacing w:after="0" w:line="240" w:lineRule="auto"/>
              <w:jc w:val="center"/>
              <w:rPr>
                <w:rFonts w:ascii="Times New Roman" w:hAnsi="Times New Roman" w:cs="Times New Roman"/>
                <w:color w:val="000000"/>
                <w:sz w:val="16"/>
                <w:szCs w:val="16"/>
              </w:rPr>
            </w:pPr>
            <w:r w:rsidRPr="005F6C3F">
              <w:rPr>
                <w:rFonts w:ascii="Times New Roman" w:hAnsi="Times New Roman" w:cs="Times New Roman"/>
                <w:color w:val="000000"/>
                <w:sz w:val="16"/>
                <w:szCs w:val="16"/>
              </w:rPr>
              <w:t>Beta</w:t>
            </w:r>
          </w:p>
        </w:tc>
        <w:tc>
          <w:tcPr>
            <w:tcW w:w="648" w:type="dxa"/>
            <w:vMerge/>
            <w:tcBorders>
              <w:top w:val="single" w:sz="16" w:space="0" w:color="000000"/>
            </w:tcBorders>
            <w:shd w:val="clear" w:color="auto" w:fill="FFFFFF"/>
          </w:tcPr>
          <w:p w:rsidR="006D093F" w:rsidRPr="005F6C3F" w:rsidRDefault="006D093F" w:rsidP="000346B3">
            <w:pPr>
              <w:adjustRightInd w:val="0"/>
              <w:snapToGrid w:val="0"/>
              <w:spacing w:after="0" w:line="240" w:lineRule="auto"/>
              <w:rPr>
                <w:rFonts w:ascii="Times New Roman" w:hAnsi="Times New Roman" w:cs="Times New Roman"/>
                <w:color w:val="000000"/>
                <w:sz w:val="16"/>
                <w:szCs w:val="16"/>
              </w:rPr>
            </w:pPr>
          </w:p>
        </w:tc>
        <w:tc>
          <w:tcPr>
            <w:tcW w:w="648" w:type="dxa"/>
            <w:vMerge/>
            <w:tcBorders>
              <w:top w:val="single" w:sz="16" w:space="0" w:color="000000"/>
            </w:tcBorders>
            <w:shd w:val="clear" w:color="auto" w:fill="FFFFFF"/>
          </w:tcPr>
          <w:p w:rsidR="006D093F" w:rsidRPr="005F6C3F" w:rsidRDefault="006D093F" w:rsidP="000346B3">
            <w:pPr>
              <w:adjustRightInd w:val="0"/>
              <w:snapToGrid w:val="0"/>
              <w:spacing w:after="0" w:line="240" w:lineRule="auto"/>
              <w:rPr>
                <w:rFonts w:ascii="Times New Roman" w:hAnsi="Times New Roman" w:cs="Times New Roman"/>
                <w:color w:val="000000"/>
                <w:sz w:val="16"/>
                <w:szCs w:val="16"/>
              </w:rPr>
            </w:pPr>
          </w:p>
        </w:tc>
        <w:tc>
          <w:tcPr>
            <w:tcW w:w="973" w:type="dxa"/>
            <w:tcBorders>
              <w:bottom w:val="single" w:sz="16" w:space="0" w:color="000000"/>
            </w:tcBorders>
            <w:shd w:val="clear" w:color="auto" w:fill="FFFFFF"/>
          </w:tcPr>
          <w:p w:rsidR="006D093F" w:rsidRPr="005F6C3F" w:rsidRDefault="006D093F" w:rsidP="000346B3">
            <w:pPr>
              <w:adjustRightInd w:val="0"/>
              <w:snapToGrid w:val="0"/>
              <w:spacing w:after="0" w:line="240" w:lineRule="auto"/>
              <w:jc w:val="center"/>
              <w:rPr>
                <w:rFonts w:ascii="Times New Roman" w:hAnsi="Times New Roman" w:cs="Times New Roman"/>
                <w:color w:val="000000"/>
                <w:sz w:val="16"/>
                <w:szCs w:val="16"/>
              </w:rPr>
            </w:pPr>
            <w:r w:rsidRPr="005F6C3F">
              <w:rPr>
                <w:rFonts w:ascii="Times New Roman" w:hAnsi="Times New Roman" w:cs="Times New Roman"/>
                <w:color w:val="000000"/>
                <w:sz w:val="16"/>
                <w:szCs w:val="16"/>
              </w:rPr>
              <w:t>Lower Bound</w:t>
            </w:r>
          </w:p>
        </w:tc>
        <w:tc>
          <w:tcPr>
            <w:tcW w:w="972" w:type="dxa"/>
            <w:tcBorders>
              <w:bottom w:val="single" w:sz="16" w:space="0" w:color="000000"/>
            </w:tcBorders>
            <w:shd w:val="clear" w:color="auto" w:fill="FFFFFF"/>
          </w:tcPr>
          <w:p w:rsidR="006D093F" w:rsidRPr="005F6C3F" w:rsidRDefault="006D093F" w:rsidP="000346B3">
            <w:pPr>
              <w:adjustRightInd w:val="0"/>
              <w:snapToGrid w:val="0"/>
              <w:spacing w:after="0" w:line="240" w:lineRule="auto"/>
              <w:jc w:val="center"/>
              <w:rPr>
                <w:rFonts w:ascii="Times New Roman" w:hAnsi="Times New Roman" w:cs="Times New Roman"/>
                <w:color w:val="000000"/>
                <w:sz w:val="16"/>
                <w:szCs w:val="16"/>
              </w:rPr>
            </w:pPr>
            <w:r w:rsidRPr="005F6C3F">
              <w:rPr>
                <w:rFonts w:ascii="Times New Roman" w:hAnsi="Times New Roman" w:cs="Times New Roman"/>
                <w:color w:val="000000"/>
                <w:sz w:val="16"/>
                <w:szCs w:val="16"/>
              </w:rPr>
              <w:t>Upper Bound</w:t>
            </w:r>
          </w:p>
        </w:tc>
        <w:tc>
          <w:tcPr>
            <w:tcW w:w="811" w:type="dxa"/>
            <w:tcBorders>
              <w:bottom w:val="single" w:sz="16" w:space="0" w:color="000000"/>
            </w:tcBorders>
            <w:shd w:val="clear" w:color="auto" w:fill="FFFFFF"/>
          </w:tcPr>
          <w:p w:rsidR="006D093F" w:rsidRPr="005F6C3F" w:rsidRDefault="006D093F" w:rsidP="007969CB">
            <w:pPr>
              <w:adjustRightInd w:val="0"/>
              <w:snapToGrid w:val="0"/>
              <w:spacing w:after="0" w:line="240" w:lineRule="auto"/>
              <w:jc w:val="center"/>
              <w:rPr>
                <w:rFonts w:ascii="Times New Roman" w:hAnsi="Times New Roman" w:cs="Times New Roman"/>
                <w:color w:val="000000"/>
                <w:sz w:val="16"/>
                <w:szCs w:val="16"/>
              </w:rPr>
            </w:pPr>
            <w:r w:rsidRPr="005F6C3F">
              <w:rPr>
                <w:rFonts w:ascii="Times New Roman" w:hAnsi="Times New Roman" w:cs="Times New Roman"/>
                <w:color w:val="000000"/>
                <w:sz w:val="16"/>
                <w:szCs w:val="16"/>
              </w:rPr>
              <w:t>Toleran</w:t>
            </w:r>
            <w:r w:rsidR="007969CB">
              <w:rPr>
                <w:rFonts w:ascii="Times New Roman" w:hAnsi="Times New Roman" w:cs="Times New Roman"/>
                <w:color w:val="000000"/>
                <w:sz w:val="16"/>
                <w:szCs w:val="16"/>
              </w:rPr>
              <w:t>ță</w:t>
            </w:r>
          </w:p>
        </w:tc>
        <w:tc>
          <w:tcPr>
            <w:tcW w:w="648" w:type="dxa"/>
            <w:tcBorders>
              <w:bottom w:val="single" w:sz="16" w:space="0" w:color="000000"/>
              <w:right w:val="single" w:sz="16" w:space="0" w:color="000000"/>
            </w:tcBorders>
            <w:shd w:val="clear" w:color="auto" w:fill="FFFFFF"/>
          </w:tcPr>
          <w:p w:rsidR="006D093F" w:rsidRPr="005F6C3F" w:rsidRDefault="006D093F" w:rsidP="000346B3">
            <w:pPr>
              <w:adjustRightInd w:val="0"/>
              <w:snapToGrid w:val="0"/>
              <w:spacing w:after="0" w:line="240" w:lineRule="auto"/>
              <w:jc w:val="center"/>
              <w:rPr>
                <w:rFonts w:ascii="Times New Roman" w:hAnsi="Times New Roman" w:cs="Times New Roman"/>
                <w:color w:val="000000"/>
                <w:sz w:val="16"/>
                <w:szCs w:val="16"/>
              </w:rPr>
            </w:pPr>
            <w:r w:rsidRPr="005F6C3F">
              <w:rPr>
                <w:rFonts w:ascii="Times New Roman" w:hAnsi="Times New Roman" w:cs="Times New Roman"/>
                <w:color w:val="000000"/>
                <w:sz w:val="16"/>
                <w:szCs w:val="16"/>
              </w:rPr>
              <w:t>VIF</w:t>
            </w:r>
          </w:p>
        </w:tc>
      </w:tr>
      <w:tr w:rsidR="006D093F" w:rsidRPr="005F6C3F" w:rsidTr="000346B3">
        <w:trPr>
          <w:cantSplit/>
          <w:trHeight w:val="194"/>
        </w:trPr>
        <w:tc>
          <w:tcPr>
            <w:tcW w:w="936" w:type="dxa"/>
            <w:vMerge w:val="restart"/>
            <w:tcBorders>
              <w:top w:val="single" w:sz="16" w:space="0" w:color="000000"/>
              <w:left w:val="single" w:sz="16" w:space="0" w:color="000000"/>
              <w:bottom w:val="single" w:sz="16" w:space="0" w:color="000000"/>
              <w:right w:val="nil"/>
            </w:tcBorders>
            <w:shd w:val="clear" w:color="auto" w:fill="FFFFFF"/>
            <w:vAlign w:val="center"/>
          </w:tcPr>
          <w:p w:rsidR="006D093F" w:rsidRPr="005F6C3F" w:rsidRDefault="006D093F" w:rsidP="000346B3">
            <w:pPr>
              <w:adjustRightInd w:val="0"/>
              <w:snapToGrid w:val="0"/>
              <w:spacing w:after="0" w:line="240" w:lineRule="auto"/>
              <w:rPr>
                <w:rFonts w:ascii="Times New Roman" w:hAnsi="Times New Roman" w:cs="Times New Roman"/>
                <w:color w:val="000000"/>
                <w:sz w:val="16"/>
                <w:szCs w:val="16"/>
              </w:rPr>
            </w:pPr>
          </w:p>
        </w:tc>
        <w:tc>
          <w:tcPr>
            <w:tcW w:w="2146" w:type="dxa"/>
            <w:tcBorders>
              <w:top w:val="single" w:sz="16" w:space="0" w:color="000000"/>
              <w:left w:val="nil"/>
              <w:bottom w:val="nil"/>
              <w:right w:val="single" w:sz="16" w:space="0" w:color="000000"/>
            </w:tcBorders>
            <w:shd w:val="clear" w:color="auto" w:fill="FFFFFF"/>
            <w:vAlign w:val="center"/>
          </w:tcPr>
          <w:p w:rsidR="006D093F" w:rsidRPr="005F6C3F" w:rsidRDefault="006D093F" w:rsidP="000346B3">
            <w:pPr>
              <w:adjustRightInd w:val="0"/>
              <w:snapToGrid w:val="0"/>
              <w:spacing w:after="0" w:line="240" w:lineRule="auto"/>
              <w:rPr>
                <w:rFonts w:ascii="Times New Roman" w:hAnsi="Times New Roman" w:cs="Times New Roman"/>
                <w:color w:val="000000"/>
                <w:sz w:val="16"/>
                <w:szCs w:val="16"/>
              </w:rPr>
            </w:pPr>
            <w:r w:rsidRPr="005F6C3F">
              <w:rPr>
                <w:rFonts w:ascii="Times New Roman" w:hAnsi="Times New Roman" w:cs="Times New Roman"/>
                <w:color w:val="000000"/>
                <w:sz w:val="16"/>
                <w:szCs w:val="16"/>
              </w:rPr>
              <w:t>(Constant</w:t>
            </w:r>
            <w:r w:rsidR="007969CB">
              <w:rPr>
                <w:rFonts w:ascii="Times New Roman" w:hAnsi="Times New Roman" w:cs="Times New Roman"/>
                <w:color w:val="000000"/>
                <w:sz w:val="16"/>
                <w:szCs w:val="16"/>
              </w:rPr>
              <w:t>ă</w:t>
            </w:r>
            <w:r w:rsidRPr="005F6C3F">
              <w:rPr>
                <w:rFonts w:ascii="Times New Roman" w:hAnsi="Times New Roman" w:cs="Times New Roman"/>
                <w:color w:val="000000"/>
                <w:sz w:val="16"/>
                <w:szCs w:val="16"/>
              </w:rPr>
              <w:t>)</w:t>
            </w:r>
          </w:p>
        </w:tc>
        <w:tc>
          <w:tcPr>
            <w:tcW w:w="810" w:type="dxa"/>
            <w:tcBorders>
              <w:top w:val="single" w:sz="16" w:space="0" w:color="000000"/>
              <w:left w:val="single" w:sz="16" w:space="0" w:color="000000"/>
              <w:bottom w:val="nil"/>
            </w:tcBorders>
            <w:shd w:val="clear" w:color="auto" w:fill="FFFFFF"/>
            <w:vAlign w:val="center"/>
          </w:tcPr>
          <w:p w:rsidR="006D093F" w:rsidRPr="005F6C3F" w:rsidRDefault="006D093F" w:rsidP="000346B3">
            <w:pPr>
              <w:adjustRightInd w:val="0"/>
              <w:snapToGrid w:val="0"/>
              <w:spacing w:after="0" w:line="240" w:lineRule="auto"/>
              <w:jc w:val="right"/>
              <w:rPr>
                <w:rFonts w:ascii="Times New Roman" w:hAnsi="Times New Roman" w:cs="Times New Roman"/>
                <w:color w:val="000000"/>
                <w:sz w:val="16"/>
                <w:szCs w:val="16"/>
              </w:rPr>
            </w:pPr>
            <w:r w:rsidRPr="005F6C3F">
              <w:rPr>
                <w:rFonts w:ascii="Times New Roman" w:hAnsi="Times New Roman" w:cs="Times New Roman"/>
                <w:color w:val="000000"/>
                <w:sz w:val="16"/>
                <w:szCs w:val="16"/>
              </w:rPr>
              <w:t>4,203</w:t>
            </w:r>
          </w:p>
        </w:tc>
        <w:tc>
          <w:tcPr>
            <w:tcW w:w="811" w:type="dxa"/>
            <w:tcBorders>
              <w:top w:val="single" w:sz="16" w:space="0" w:color="000000"/>
              <w:bottom w:val="nil"/>
            </w:tcBorders>
            <w:shd w:val="clear" w:color="auto" w:fill="FFFFFF"/>
            <w:vAlign w:val="center"/>
          </w:tcPr>
          <w:p w:rsidR="006D093F" w:rsidRPr="005F6C3F" w:rsidRDefault="006D093F" w:rsidP="000346B3">
            <w:pPr>
              <w:adjustRightInd w:val="0"/>
              <w:snapToGrid w:val="0"/>
              <w:spacing w:after="0" w:line="240" w:lineRule="auto"/>
              <w:jc w:val="right"/>
              <w:rPr>
                <w:rFonts w:ascii="Times New Roman" w:hAnsi="Times New Roman" w:cs="Times New Roman"/>
                <w:color w:val="000000"/>
                <w:sz w:val="16"/>
                <w:szCs w:val="16"/>
              </w:rPr>
            </w:pPr>
            <w:r w:rsidRPr="005F6C3F">
              <w:rPr>
                <w:rFonts w:ascii="Times New Roman" w:hAnsi="Times New Roman" w:cs="Times New Roman"/>
                <w:color w:val="000000"/>
                <w:sz w:val="16"/>
                <w:szCs w:val="16"/>
              </w:rPr>
              <w:t>,034</w:t>
            </w:r>
          </w:p>
        </w:tc>
        <w:tc>
          <w:tcPr>
            <w:tcW w:w="1135" w:type="dxa"/>
            <w:tcBorders>
              <w:top w:val="single" w:sz="16" w:space="0" w:color="000000"/>
              <w:bottom w:val="nil"/>
            </w:tcBorders>
            <w:shd w:val="clear" w:color="auto" w:fill="FFFFFF"/>
          </w:tcPr>
          <w:p w:rsidR="006D093F" w:rsidRPr="005F6C3F" w:rsidRDefault="006D093F" w:rsidP="000346B3">
            <w:pPr>
              <w:adjustRightInd w:val="0"/>
              <w:snapToGrid w:val="0"/>
              <w:spacing w:after="0" w:line="240" w:lineRule="auto"/>
              <w:rPr>
                <w:rFonts w:ascii="Times New Roman" w:hAnsi="Times New Roman" w:cs="Times New Roman"/>
                <w:sz w:val="16"/>
                <w:szCs w:val="16"/>
              </w:rPr>
            </w:pPr>
          </w:p>
        </w:tc>
        <w:tc>
          <w:tcPr>
            <w:tcW w:w="648" w:type="dxa"/>
            <w:tcBorders>
              <w:top w:val="single" w:sz="16" w:space="0" w:color="000000"/>
              <w:bottom w:val="nil"/>
            </w:tcBorders>
            <w:shd w:val="clear" w:color="auto" w:fill="FFFFFF"/>
            <w:vAlign w:val="center"/>
          </w:tcPr>
          <w:p w:rsidR="006D093F" w:rsidRPr="005F6C3F" w:rsidRDefault="006D093F" w:rsidP="000346B3">
            <w:pPr>
              <w:adjustRightInd w:val="0"/>
              <w:snapToGrid w:val="0"/>
              <w:spacing w:after="0" w:line="240" w:lineRule="auto"/>
              <w:jc w:val="right"/>
              <w:rPr>
                <w:rFonts w:ascii="Times New Roman" w:hAnsi="Times New Roman" w:cs="Times New Roman"/>
                <w:color w:val="000000"/>
                <w:sz w:val="16"/>
                <w:szCs w:val="16"/>
              </w:rPr>
            </w:pPr>
            <w:r w:rsidRPr="005F6C3F">
              <w:rPr>
                <w:rFonts w:ascii="Times New Roman" w:hAnsi="Times New Roman" w:cs="Times New Roman"/>
                <w:color w:val="000000"/>
                <w:sz w:val="16"/>
                <w:szCs w:val="16"/>
              </w:rPr>
              <w:t>122,277</w:t>
            </w:r>
          </w:p>
        </w:tc>
        <w:tc>
          <w:tcPr>
            <w:tcW w:w="648" w:type="dxa"/>
            <w:tcBorders>
              <w:top w:val="single" w:sz="16" w:space="0" w:color="000000"/>
              <w:bottom w:val="nil"/>
            </w:tcBorders>
            <w:shd w:val="clear" w:color="auto" w:fill="FFFFFF"/>
            <w:vAlign w:val="center"/>
          </w:tcPr>
          <w:p w:rsidR="006D093F" w:rsidRPr="005F6C3F" w:rsidRDefault="006D093F" w:rsidP="000346B3">
            <w:pPr>
              <w:adjustRightInd w:val="0"/>
              <w:snapToGrid w:val="0"/>
              <w:spacing w:after="0" w:line="240" w:lineRule="auto"/>
              <w:jc w:val="right"/>
              <w:rPr>
                <w:rFonts w:ascii="Times New Roman" w:hAnsi="Times New Roman" w:cs="Times New Roman"/>
                <w:color w:val="000000"/>
                <w:sz w:val="16"/>
                <w:szCs w:val="16"/>
              </w:rPr>
            </w:pPr>
            <w:r w:rsidRPr="005F6C3F">
              <w:rPr>
                <w:rFonts w:ascii="Times New Roman" w:hAnsi="Times New Roman" w:cs="Times New Roman"/>
                <w:color w:val="000000"/>
                <w:sz w:val="16"/>
                <w:szCs w:val="16"/>
              </w:rPr>
              <w:t>,000</w:t>
            </w:r>
          </w:p>
        </w:tc>
        <w:tc>
          <w:tcPr>
            <w:tcW w:w="973" w:type="dxa"/>
            <w:tcBorders>
              <w:top w:val="single" w:sz="16" w:space="0" w:color="000000"/>
              <w:bottom w:val="nil"/>
            </w:tcBorders>
            <w:shd w:val="clear" w:color="auto" w:fill="FFFFFF"/>
            <w:vAlign w:val="center"/>
          </w:tcPr>
          <w:p w:rsidR="006D093F" w:rsidRPr="005F6C3F" w:rsidRDefault="006D093F" w:rsidP="000346B3">
            <w:pPr>
              <w:adjustRightInd w:val="0"/>
              <w:snapToGrid w:val="0"/>
              <w:spacing w:after="0" w:line="240" w:lineRule="auto"/>
              <w:jc w:val="right"/>
              <w:rPr>
                <w:rFonts w:ascii="Times New Roman" w:hAnsi="Times New Roman" w:cs="Times New Roman"/>
                <w:color w:val="000000"/>
                <w:sz w:val="16"/>
                <w:szCs w:val="16"/>
              </w:rPr>
            </w:pPr>
            <w:r w:rsidRPr="005F6C3F">
              <w:rPr>
                <w:rFonts w:ascii="Times New Roman" w:hAnsi="Times New Roman" w:cs="Times New Roman"/>
                <w:color w:val="000000"/>
                <w:sz w:val="16"/>
                <w:szCs w:val="16"/>
              </w:rPr>
              <w:t>4,135</w:t>
            </w:r>
          </w:p>
        </w:tc>
        <w:tc>
          <w:tcPr>
            <w:tcW w:w="972" w:type="dxa"/>
            <w:tcBorders>
              <w:top w:val="single" w:sz="16" w:space="0" w:color="000000"/>
              <w:bottom w:val="nil"/>
            </w:tcBorders>
            <w:shd w:val="clear" w:color="auto" w:fill="FFFFFF"/>
            <w:vAlign w:val="center"/>
          </w:tcPr>
          <w:p w:rsidR="006D093F" w:rsidRPr="005F6C3F" w:rsidRDefault="006D093F" w:rsidP="000346B3">
            <w:pPr>
              <w:adjustRightInd w:val="0"/>
              <w:snapToGrid w:val="0"/>
              <w:spacing w:after="0" w:line="240" w:lineRule="auto"/>
              <w:jc w:val="right"/>
              <w:rPr>
                <w:rFonts w:ascii="Times New Roman" w:hAnsi="Times New Roman" w:cs="Times New Roman"/>
                <w:color w:val="000000"/>
                <w:sz w:val="16"/>
                <w:szCs w:val="16"/>
              </w:rPr>
            </w:pPr>
            <w:r w:rsidRPr="005F6C3F">
              <w:rPr>
                <w:rFonts w:ascii="Times New Roman" w:hAnsi="Times New Roman" w:cs="Times New Roman"/>
                <w:color w:val="000000"/>
                <w:sz w:val="16"/>
                <w:szCs w:val="16"/>
              </w:rPr>
              <w:t>4,271</w:t>
            </w:r>
          </w:p>
        </w:tc>
        <w:tc>
          <w:tcPr>
            <w:tcW w:w="811" w:type="dxa"/>
            <w:tcBorders>
              <w:top w:val="single" w:sz="16" w:space="0" w:color="000000"/>
              <w:bottom w:val="nil"/>
            </w:tcBorders>
            <w:shd w:val="clear" w:color="auto" w:fill="FFFFFF"/>
          </w:tcPr>
          <w:p w:rsidR="006D093F" w:rsidRPr="005F6C3F" w:rsidRDefault="006D093F" w:rsidP="000346B3">
            <w:pPr>
              <w:adjustRightInd w:val="0"/>
              <w:snapToGrid w:val="0"/>
              <w:spacing w:after="0" w:line="240" w:lineRule="auto"/>
              <w:rPr>
                <w:rFonts w:ascii="Times New Roman" w:hAnsi="Times New Roman" w:cs="Times New Roman"/>
                <w:sz w:val="16"/>
                <w:szCs w:val="16"/>
              </w:rPr>
            </w:pPr>
          </w:p>
        </w:tc>
        <w:tc>
          <w:tcPr>
            <w:tcW w:w="648" w:type="dxa"/>
            <w:tcBorders>
              <w:top w:val="single" w:sz="16" w:space="0" w:color="000000"/>
              <w:bottom w:val="nil"/>
              <w:right w:val="single" w:sz="16" w:space="0" w:color="000000"/>
            </w:tcBorders>
            <w:shd w:val="clear" w:color="auto" w:fill="FFFFFF"/>
          </w:tcPr>
          <w:p w:rsidR="006D093F" w:rsidRPr="005F6C3F" w:rsidRDefault="006D093F" w:rsidP="000346B3">
            <w:pPr>
              <w:adjustRightInd w:val="0"/>
              <w:snapToGrid w:val="0"/>
              <w:spacing w:after="0" w:line="240" w:lineRule="auto"/>
              <w:rPr>
                <w:rFonts w:ascii="Times New Roman" w:hAnsi="Times New Roman" w:cs="Times New Roman"/>
                <w:sz w:val="16"/>
                <w:szCs w:val="16"/>
              </w:rPr>
            </w:pPr>
          </w:p>
        </w:tc>
      </w:tr>
      <w:tr w:rsidR="006D093F" w:rsidRPr="005F6C3F" w:rsidTr="000346B3">
        <w:trPr>
          <w:cantSplit/>
          <w:trHeight w:val="149"/>
        </w:trPr>
        <w:tc>
          <w:tcPr>
            <w:tcW w:w="936" w:type="dxa"/>
            <w:vMerge/>
            <w:tcBorders>
              <w:top w:val="single" w:sz="16" w:space="0" w:color="000000"/>
              <w:left w:val="single" w:sz="16" w:space="0" w:color="000000"/>
              <w:bottom w:val="single" w:sz="16" w:space="0" w:color="000000"/>
              <w:right w:val="nil"/>
            </w:tcBorders>
            <w:shd w:val="clear" w:color="auto" w:fill="FFFFFF"/>
            <w:vAlign w:val="center"/>
          </w:tcPr>
          <w:p w:rsidR="006D093F" w:rsidRPr="005F6C3F" w:rsidRDefault="006D093F" w:rsidP="000346B3">
            <w:pPr>
              <w:adjustRightInd w:val="0"/>
              <w:snapToGrid w:val="0"/>
              <w:spacing w:after="0" w:line="240" w:lineRule="auto"/>
              <w:rPr>
                <w:rFonts w:ascii="Times New Roman" w:hAnsi="Times New Roman" w:cs="Times New Roman"/>
                <w:sz w:val="16"/>
                <w:szCs w:val="16"/>
              </w:rPr>
            </w:pPr>
          </w:p>
        </w:tc>
        <w:tc>
          <w:tcPr>
            <w:tcW w:w="2146" w:type="dxa"/>
            <w:tcBorders>
              <w:top w:val="nil"/>
              <w:left w:val="nil"/>
              <w:bottom w:val="nil"/>
              <w:right w:val="single" w:sz="16" w:space="0" w:color="000000"/>
            </w:tcBorders>
            <w:shd w:val="clear" w:color="auto" w:fill="FFFFFF"/>
            <w:vAlign w:val="center"/>
          </w:tcPr>
          <w:p w:rsidR="006D093F" w:rsidRPr="005F6C3F" w:rsidRDefault="007969CB" w:rsidP="007969CB">
            <w:pPr>
              <w:adjustRightInd w:val="0"/>
              <w:snapToGri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PCA1_Informare</w:t>
            </w:r>
          </w:p>
        </w:tc>
        <w:tc>
          <w:tcPr>
            <w:tcW w:w="810" w:type="dxa"/>
            <w:tcBorders>
              <w:top w:val="nil"/>
              <w:left w:val="single" w:sz="16" w:space="0" w:color="000000"/>
              <w:bottom w:val="nil"/>
            </w:tcBorders>
            <w:shd w:val="clear" w:color="auto" w:fill="FFFFFF"/>
            <w:vAlign w:val="center"/>
          </w:tcPr>
          <w:p w:rsidR="006D093F" w:rsidRPr="005F6C3F" w:rsidRDefault="006D093F" w:rsidP="000346B3">
            <w:pPr>
              <w:adjustRightInd w:val="0"/>
              <w:snapToGrid w:val="0"/>
              <w:spacing w:after="0" w:line="240" w:lineRule="auto"/>
              <w:jc w:val="right"/>
              <w:rPr>
                <w:rFonts w:ascii="Times New Roman" w:hAnsi="Times New Roman" w:cs="Times New Roman"/>
                <w:color w:val="000000"/>
                <w:sz w:val="16"/>
                <w:szCs w:val="16"/>
              </w:rPr>
            </w:pPr>
            <w:r w:rsidRPr="005F6C3F">
              <w:rPr>
                <w:rFonts w:ascii="Times New Roman" w:hAnsi="Times New Roman" w:cs="Times New Roman"/>
                <w:color w:val="000000"/>
                <w:sz w:val="16"/>
                <w:szCs w:val="16"/>
              </w:rPr>
              <w:t>,164</w:t>
            </w:r>
          </w:p>
        </w:tc>
        <w:tc>
          <w:tcPr>
            <w:tcW w:w="811" w:type="dxa"/>
            <w:tcBorders>
              <w:top w:val="nil"/>
              <w:bottom w:val="nil"/>
            </w:tcBorders>
            <w:shd w:val="clear" w:color="auto" w:fill="FFFFFF"/>
            <w:vAlign w:val="center"/>
          </w:tcPr>
          <w:p w:rsidR="006D093F" w:rsidRPr="005F6C3F" w:rsidRDefault="006D093F" w:rsidP="000346B3">
            <w:pPr>
              <w:adjustRightInd w:val="0"/>
              <w:snapToGrid w:val="0"/>
              <w:spacing w:after="0" w:line="240" w:lineRule="auto"/>
              <w:jc w:val="right"/>
              <w:rPr>
                <w:rFonts w:ascii="Times New Roman" w:hAnsi="Times New Roman" w:cs="Times New Roman"/>
                <w:color w:val="000000"/>
                <w:sz w:val="16"/>
                <w:szCs w:val="16"/>
              </w:rPr>
            </w:pPr>
            <w:r w:rsidRPr="005F6C3F">
              <w:rPr>
                <w:rFonts w:ascii="Times New Roman" w:hAnsi="Times New Roman" w:cs="Times New Roman"/>
                <w:color w:val="000000"/>
                <w:sz w:val="16"/>
                <w:szCs w:val="16"/>
              </w:rPr>
              <w:t>,034</w:t>
            </w:r>
          </w:p>
        </w:tc>
        <w:tc>
          <w:tcPr>
            <w:tcW w:w="1135" w:type="dxa"/>
            <w:tcBorders>
              <w:top w:val="nil"/>
              <w:bottom w:val="nil"/>
            </w:tcBorders>
            <w:shd w:val="clear" w:color="auto" w:fill="FFFFFF"/>
            <w:vAlign w:val="center"/>
          </w:tcPr>
          <w:p w:rsidR="006D093F" w:rsidRPr="005F6C3F" w:rsidRDefault="006D093F" w:rsidP="000346B3">
            <w:pPr>
              <w:adjustRightInd w:val="0"/>
              <w:snapToGrid w:val="0"/>
              <w:spacing w:after="0" w:line="240" w:lineRule="auto"/>
              <w:jc w:val="right"/>
              <w:rPr>
                <w:rFonts w:ascii="Times New Roman" w:hAnsi="Times New Roman" w:cs="Times New Roman"/>
                <w:color w:val="000000"/>
                <w:sz w:val="16"/>
                <w:szCs w:val="16"/>
              </w:rPr>
            </w:pPr>
            <w:r w:rsidRPr="005F6C3F">
              <w:rPr>
                <w:rFonts w:ascii="Times New Roman" w:hAnsi="Times New Roman" w:cs="Times New Roman"/>
                <w:color w:val="000000"/>
                <w:sz w:val="16"/>
                <w:szCs w:val="16"/>
              </w:rPr>
              <w:t>,201</w:t>
            </w:r>
          </w:p>
        </w:tc>
        <w:tc>
          <w:tcPr>
            <w:tcW w:w="648" w:type="dxa"/>
            <w:tcBorders>
              <w:top w:val="nil"/>
              <w:bottom w:val="nil"/>
            </w:tcBorders>
            <w:shd w:val="clear" w:color="auto" w:fill="FFFFFF"/>
            <w:vAlign w:val="center"/>
          </w:tcPr>
          <w:p w:rsidR="006D093F" w:rsidRPr="005F6C3F" w:rsidRDefault="006D093F" w:rsidP="000346B3">
            <w:pPr>
              <w:adjustRightInd w:val="0"/>
              <w:snapToGrid w:val="0"/>
              <w:spacing w:after="0" w:line="240" w:lineRule="auto"/>
              <w:jc w:val="right"/>
              <w:rPr>
                <w:rFonts w:ascii="Times New Roman" w:hAnsi="Times New Roman" w:cs="Times New Roman"/>
                <w:color w:val="000000"/>
                <w:sz w:val="16"/>
                <w:szCs w:val="16"/>
              </w:rPr>
            </w:pPr>
            <w:r w:rsidRPr="005F6C3F">
              <w:rPr>
                <w:rFonts w:ascii="Times New Roman" w:hAnsi="Times New Roman" w:cs="Times New Roman"/>
                <w:color w:val="000000"/>
                <w:sz w:val="16"/>
                <w:szCs w:val="16"/>
              </w:rPr>
              <w:t>4,763</w:t>
            </w:r>
          </w:p>
        </w:tc>
        <w:tc>
          <w:tcPr>
            <w:tcW w:w="648" w:type="dxa"/>
            <w:tcBorders>
              <w:top w:val="nil"/>
              <w:bottom w:val="nil"/>
            </w:tcBorders>
            <w:shd w:val="clear" w:color="auto" w:fill="FFFFFF"/>
            <w:vAlign w:val="center"/>
          </w:tcPr>
          <w:p w:rsidR="006D093F" w:rsidRPr="005F6C3F" w:rsidRDefault="006D093F" w:rsidP="000346B3">
            <w:pPr>
              <w:adjustRightInd w:val="0"/>
              <w:snapToGrid w:val="0"/>
              <w:spacing w:after="0" w:line="240" w:lineRule="auto"/>
              <w:jc w:val="right"/>
              <w:rPr>
                <w:rFonts w:ascii="Times New Roman" w:hAnsi="Times New Roman" w:cs="Times New Roman"/>
                <w:color w:val="000000"/>
                <w:sz w:val="16"/>
                <w:szCs w:val="16"/>
              </w:rPr>
            </w:pPr>
            <w:r w:rsidRPr="005F6C3F">
              <w:rPr>
                <w:rFonts w:ascii="Times New Roman" w:hAnsi="Times New Roman" w:cs="Times New Roman"/>
                <w:color w:val="000000"/>
                <w:sz w:val="16"/>
                <w:szCs w:val="16"/>
              </w:rPr>
              <w:t>,000</w:t>
            </w:r>
          </w:p>
        </w:tc>
        <w:tc>
          <w:tcPr>
            <w:tcW w:w="973" w:type="dxa"/>
            <w:tcBorders>
              <w:top w:val="nil"/>
              <w:bottom w:val="nil"/>
            </w:tcBorders>
            <w:shd w:val="clear" w:color="auto" w:fill="FFFFFF"/>
            <w:vAlign w:val="center"/>
          </w:tcPr>
          <w:p w:rsidR="006D093F" w:rsidRPr="005F6C3F" w:rsidRDefault="006D093F" w:rsidP="000346B3">
            <w:pPr>
              <w:adjustRightInd w:val="0"/>
              <w:snapToGrid w:val="0"/>
              <w:spacing w:after="0" w:line="240" w:lineRule="auto"/>
              <w:jc w:val="right"/>
              <w:rPr>
                <w:rFonts w:ascii="Times New Roman" w:hAnsi="Times New Roman" w:cs="Times New Roman"/>
                <w:color w:val="000000"/>
                <w:sz w:val="16"/>
                <w:szCs w:val="16"/>
              </w:rPr>
            </w:pPr>
            <w:r w:rsidRPr="005F6C3F">
              <w:rPr>
                <w:rFonts w:ascii="Times New Roman" w:hAnsi="Times New Roman" w:cs="Times New Roman"/>
                <w:color w:val="000000"/>
                <w:sz w:val="16"/>
                <w:szCs w:val="16"/>
              </w:rPr>
              <w:t>,096</w:t>
            </w:r>
          </w:p>
        </w:tc>
        <w:tc>
          <w:tcPr>
            <w:tcW w:w="972" w:type="dxa"/>
            <w:tcBorders>
              <w:top w:val="nil"/>
              <w:bottom w:val="nil"/>
            </w:tcBorders>
            <w:shd w:val="clear" w:color="auto" w:fill="FFFFFF"/>
            <w:vAlign w:val="center"/>
          </w:tcPr>
          <w:p w:rsidR="006D093F" w:rsidRPr="005F6C3F" w:rsidRDefault="006D093F" w:rsidP="000346B3">
            <w:pPr>
              <w:adjustRightInd w:val="0"/>
              <w:snapToGrid w:val="0"/>
              <w:spacing w:after="0" w:line="240" w:lineRule="auto"/>
              <w:jc w:val="right"/>
              <w:rPr>
                <w:rFonts w:ascii="Times New Roman" w:hAnsi="Times New Roman" w:cs="Times New Roman"/>
                <w:color w:val="000000"/>
                <w:sz w:val="16"/>
                <w:szCs w:val="16"/>
              </w:rPr>
            </w:pPr>
            <w:r w:rsidRPr="005F6C3F">
              <w:rPr>
                <w:rFonts w:ascii="Times New Roman" w:hAnsi="Times New Roman" w:cs="Times New Roman"/>
                <w:color w:val="000000"/>
                <w:sz w:val="16"/>
                <w:szCs w:val="16"/>
              </w:rPr>
              <w:t>,232</w:t>
            </w:r>
          </w:p>
        </w:tc>
        <w:tc>
          <w:tcPr>
            <w:tcW w:w="811" w:type="dxa"/>
            <w:tcBorders>
              <w:top w:val="nil"/>
              <w:bottom w:val="nil"/>
            </w:tcBorders>
            <w:shd w:val="clear" w:color="auto" w:fill="FFFFFF"/>
            <w:vAlign w:val="center"/>
          </w:tcPr>
          <w:p w:rsidR="006D093F" w:rsidRPr="005F6C3F" w:rsidRDefault="006D093F" w:rsidP="000346B3">
            <w:pPr>
              <w:adjustRightInd w:val="0"/>
              <w:snapToGrid w:val="0"/>
              <w:spacing w:after="0" w:line="240" w:lineRule="auto"/>
              <w:jc w:val="right"/>
              <w:rPr>
                <w:rFonts w:ascii="Times New Roman" w:hAnsi="Times New Roman" w:cs="Times New Roman"/>
                <w:color w:val="000000"/>
                <w:sz w:val="16"/>
                <w:szCs w:val="16"/>
              </w:rPr>
            </w:pPr>
            <w:r w:rsidRPr="005F6C3F">
              <w:rPr>
                <w:rFonts w:ascii="Times New Roman" w:hAnsi="Times New Roman" w:cs="Times New Roman"/>
                <w:color w:val="000000"/>
                <w:sz w:val="16"/>
                <w:szCs w:val="16"/>
              </w:rPr>
              <w:t>1,000</w:t>
            </w:r>
          </w:p>
        </w:tc>
        <w:tc>
          <w:tcPr>
            <w:tcW w:w="648" w:type="dxa"/>
            <w:tcBorders>
              <w:top w:val="nil"/>
              <w:bottom w:val="nil"/>
              <w:right w:val="single" w:sz="16" w:space="0" w:color="000000"/>
            </w:tcBorders>
            <w:shd w:val="clear" w:color="auto" w:fill="FFFFFF"/>
            <w:vAlign w:val="center"/>
          </w:tcPr>
          <w:p w:rsidR="006D093F" w:rsidRPr="005F6C3F" w:rsidRDefault="006D093F" w:rsidP="000346B3">
            <w:pPr>
              <w:adjustRightInd w:val="0"/>
              <w:snapToGrid w:val="0"/>
              <w:spacing w:after="0" w:line="240" w:lineRule="auto"/>
              <w:jc w:val="right"/>
              <w:rPr>
                <w:rFonts w:ascii="Times New Roman" w:hAnsi="Times New Roman" w:cs="Times New Roman"/>
                <w:color w:val="000000"/>
                <w:sz w:val="16"/>
                <w:szCs w:val="16"/>
              </w:rPr>
            </w:pPr>
            <w:r w:rsidRPr="005F6C3F">
              <w:rPr>
                <w:rFonts w:ascii="Times New Roman" w:hAnsi="Times New Roman" w:cs="Times New Roman"/>
                <w:color w:val="000000"/>
                <w:sz w:val="16"/>
                <w:szCs w:val="16"/>
              </w:rPr>
              <w:t>1,000</w:t>
            </w:r>
          </w:p>
        </w:tc>
      </w:tr>
      <w:tr w:rsidR="006D093F" w:rsidRPr="005F6C3F" w:rsidTr="000346B3">
        <w:trPr>
          <w:cantSplit/>
          <w:trHeight w:val="149"/>
        </w:trPr>
        <w:tc>
          <w:tcPr>
            <w:tcW w:w="936" w:type="dxa"/>
            <w:vMerge/>
            <w:tcBorders>
              <w:top w:val="single" w:sz="16" w:space="0" w:color="000000"/>
              <w:left w:val="single" w:sz="16" w:space="0" w:color="000000"/>
              <w:bottom w:val="single" w:sz="16" w:space="0" w:color="000000"/>
              <w:right w:val="nil"/>
            </w:tcBorders>
            <w:shd w:val="clear" w:color="auto" w:fill="FFFFFF"/>
            <w:vAlign w:val="center"/>
          </w:tcPr>
          <w:p w:rsidR="006D093F" w:rsidRPr="005F6C3F" w:rsidRDefault="006D093F" w:rsidP="000346B3">
            <w:pPr>
              <w:adjustRightInd w:val="0"/>
              <w:snapToGrid w:val="0"/>
              <w:spacing w:after="0" w:line="240" w:lineRule="auto"/>
              <w:rPr>
                <w:rFonts w:ascii="Times New Roman" w:hAnsi="Times New Roman" w:cs="Times New Roman"/>
                <w:color w:val="000000"/>
                <w:sz w:val="16"/>
                <w:szCs w:val="16"/>
              </w:rPr>
            </w:pPr>
          </w:p>
        </w:tc>
        <w:tc>
          <w:tcPr>
            <w:tcW w:w="2146" w:type="dxa"/>
            <w:tcBorders>
              <w:top w:val="nil"/>
              <w:left w:val="nil"/>
              <w:bottom w:val="nil"/>
              <w:right w:val="single" w:sz="16" w:space="0" w:color="000000"/>
            </w:tcBorders>
            <w:shd w:val="clear" w:color="auto" w:fill="FFFFFF"/>
            <w:vAlign w:val="center"/>
          </w:tcPr>
          <w:p w:rsidR="006D093F" w:rsidRPr="005F6C3F" w:rsidRDefault="006D093F" w:rsidP="007969CB">
            <w:pPr>
              <w:adjustRightInd w:val="0"/>
              <w:snapToGrid w:val="0"/>
              <w:spacing w:after="0" w:line="240" w:lineRule="auto"/>
              <w:rPr>
                <w:rFonts w:ascii="Times New Roman" w:hAnsi="Times New Roman" w:cs="Times New Roman"/>
                <w:color w:val="000000"/>
                <w:sz w:val="16"/>
                <w:szCs w:val="16"/>
              </w:rPr>
            </w:pPr>
            <w:r w:rsidRPr="005F6C3F">
              <w:rPr>
                <w:rFonts w:ascii="Times New Roman" w:hAnsi="Times New Roman" w:cs="Times New Roman"/>
                <w:color w:val="000000"/>
                <w:sz w:val="16"/>
                <w:szCs w:val="16"/>
              </w:rPr>
              <w:t>PCA2_</w:t>
            </w:r>
            <w:r w:rsidR="007969CB">
              <w:rPr>
                <w:rFonts w:ascii="Times New Roman" w:hAnsi="Times New Roman" w:cs="Times New Roman"/>
                <w:color w:val="000000"/>
                <w:sz w:val="16"/>
                <w:szCs w:val="16"/>
              </w:rPr>
              <w:t>Măsuri moderne</w:t>
            </w:r>
          </w:p>
        </w:tc>
        <w:tc>
          <w:tcPr>
            <w:tcW w:w="810" w:type="dxa"/>
            <w:tcBorders>
              <w:top w:val="nil"/>
              <w:left w:val="single" w:sz="16" w:space="0" w:color="000000"/>
              <w:bottom w:val="nil"/>
            </w:tcBorders>
            <w:shd w:val="clear" w:color="auto" w:fill="FFFFFF"/>
            <w:vAlign w:val="center"/>
          </w:tcPr>
          <w:p w:rsidR="006D093F" w:rsidRPr="005F6C3F" w:rsidRDefault="006D093F" w:rsidP="000346B3">
            <w:pPr>
              <w:adjustRightInd w:val="0"/>
              <w:snapToGrid w:val="0"/>
              <w:spacing w:after="0" w:line="240" w:lineRule="auto"/>
              <w:jc w:val="right"/>
              <w:rPr>
                <w:rFonts w:ascii="Times New Roman" w:hAnsi="Times New Roman" w:cs="Times New Roman"/>
                <w:color w:val="000000"/>
                <w:sz w:val="16"/>
                <w:szCs w:val="16"/>
              </w:rPr>
            </w:pPr>
            <w:r w:rsidRPr="005F6C3F">
              <w:rPr>
                <w:rFonts w:ascii="Times New Roman" w:hAnsi="Times New Roman" w:cs="Times New Roman"/>
                <w:color w:val="000000"/>
                <w:sz w:val="16"/>
                <w:szCs w:val="16"/>
              </w:rPr>
              <w:t>,145</w:t>
            </w:r>
          </w:p>
        </w:tc>
        <w:tc>
          <w:tcPr>
            <w:tcW w:w="811" w:type="dxa"/>
            <w:tcBorders>
              <w:top w:val="nil"/>
              <w:bottom w:val="nil"/>
            </w:tcBorders>
            <w:shd w:val="clear" w:color="auto" w:fill="FFFFFF"/>
            <w:vAlign w:val="center"/>
          </w:tcPr>
          <w:p w:rsidR="006D093F" w:rsidRPr="005F6C3F" w:rsidRDefault="006D093F" w:rsidP="000346B3">
            <w:pPr>
              <w:adjustRightInd w:val="0"/>
              <w:snapToGrid w:val="0"/>
              <w:spacing w:after="0" w:line="240" w:lineRule="auto"/>
              <w:jc w:val="right"/>
              <w:rPr>
                <w:rFonts w:ascii="Times New Roman" w:hAnsi="Times New Roman" w:cs="Times New Roman"/>
                <w:color w:val="000000"/>
                <w:sz w:val="16"/>
                <w:szCs w:val="16"/>
              </w:rPr>
            </w:pPr>
            <w:r w:rsidRPr="005F6C3F">
              <w:rPr>
                <w:rFonts w:ascii="Times New Roman" w:hAnsi="Times New Roman" w:cs="Times New Roman"/>
                <w:color w:val="000000"/>
                <w:sz w:val="16"/>
                <w:szCs w:val="16"/>
              </w:rPr>
              <w:t>,034</w:t>
            </w:r>
          </w:p>
        </w:tc>
        <w:tc>
          <w:tcPr>
            <w:tcW w:w="1135" w:type="dxa"/>
            <w:tcBorders>
              <w:top w:val="nil"/>
              <w:bottom w:val="nil"/>
            </w:tcBorders>
            <w:shd w:val="clear" w:color="auto" w:fill="FFFFFF"/>
            <w:vAlign w:val="center"/>
          </w:tcPr>
          <w:p w:rsidR="006D093F" w:rsidRPr="005F6C3F" w:rsidRDefault="006D093F" w:rsidP="000346B3">
            <w:pPr>
              <w:adjustRightInd w:val="0"/>
              <w:snapToGrid w:val="0"/>
              <w:spacing w:after="0" w:line="240" w:lineRule="auto"/>
              <w:jc w:val="right"/>
              <w:rPr>
                <w:rFonts w:ascii="Times New Roman" w:hAnsi="Times New Roman" w:cs="Times New Roman"/>
                <w:color w:val="000000"/>
                <w:sz w:val="16"/>
                <w:szCs w:val="16"/>
              </w:rPr>
            </w:pPr>
            <w:r w:rsidRPr="005F6C3F">
              <w:rPr>
                <w:rFonts w:ascii="Times New Roman" w:hAnsi="Times New Roman" w:cs="Times New Roman"/>
                <w:color w:val="000000"/>
                <w:sz w:val="16"/>
                <w:szCs w:val="16"/>
              </w:rPr>
              <w:t>,177</w:t>
            </w:r>
          </w:p>
        </w:tc>
        <w:tc>
          <w:tcPr>
            <w:tcW w:w="648" w:type="dxa"/>
            <w:tcBorders>
              <w:top w:val="nil"/>
              <w:bottom w:val="nil"/>
            </w:tcBorders>
            <w:shd w:val="clear" w:color="auto" w:fill="FFFFFF"/>
            <w:vAlign w:val="center"/>
          </w:tcPr>
          <w:p w:rsidR="006D093F" w:rsidRPr="005F6C3F" w:rsidRDefault="006D093F" w:rsidP="000346B3">
            <w:pPr>
              <w:adjustRightInd w:val="0"/>
              <w:snapToGrid w:val="0"/>
              <w:spacing w:after="0" w:line="240" w:lineRule="auto"/>
              <w:jc w:val="right"/>
              <w:rPr>
                <w:rFonts w:ascii="Times New Roman" w:hAnsi="Times New Roman" w:cs="Times New Roman"/>
                <w:color w:val="000000"/>
                <w:sz w:val="16"/>
                <w:szCs w:val="16"/>
              </w:rPr>
            </w:pPr>
            <w:r w:rsidRPr="005F6C3F">
              <w:rPr>
                <w:rFonts w:ascii="Times New Roman" w:hAnsi="Times New Roman" w:cs="Times New Roman"/>
                <w:color w:val="000000"/>
                <w:sz w:val="16"/>
                <w:szCs w:val="16"/>
              </w:rPr>
              <w:t>4,206</w:t>
            </w:r>
          </w:p>
        </w:tc>
        <w:tc>
          <w:tcPr>
            <w:tcW w:w="648" w:type="dxa"/>
            <w:tcBorders>
              <w:top w:val="nil"/>
              <w:bottom w:val="nil"/>
            </w:tcBorders>
            <w:shd w:val="clear" w:color="auto" w:fill="FFFFFF"/>
            <w:vAlign w:val="center"/>
          </w:tcPr>
          <w:p w:rsidR="006D093F" w:rsidRPr="005F6C3F" w:rsidRDefault="006D093F" w:rsidP="000346B3">
            <w:pPr>
              <w:adjustRightInd w:val="0"/>
              <w:snapToGrid w:val="0"/>
              <w:spacing w:after="0" w:line="240" w:lineRule="auto"/>
              <w:jc w:val="right"/>
              <w:rPr>
                <w:rFonts w:ascii="Times New Roman" w:hAnsi="Times New Roman" w:cs="Times New Roman"/>
                <w:color w:val="000000"/>
                <w:sz w:val="16"/>
                <w:szCs w:val="16"/>
              </w:rPr>
            </w:pPr>
            <w:r w:rsidRPr="005F6C3F">
              <w:rPr>
                <w:rFonts w:ascii="Times New Roman" w:hAnsi="Times New Roman" w:cs="Times New Roman"/>
                <w:color w:val="000000"/>
                <w:sz w:val="16"/>
                <w:szCs w:val="16"/>
              </w:rPr>
              <w:t>,000</w:t>
            </w:r>
          </w:p>
        </w:tc>
        <w:tc>
          <w:tcPr>
            <w:tcW w:w="973" w:type="dxa"/>
            <w:tcBorders>
              <w:top w:val="nil"/>
              <w:bottom w:val="nil"/>
            </w:tcBorders>
            <w:shd w:val="clear" w:color="auto" w:fill="FFFFFF"/>
            <w:vAlign w:val="center"/>
          </w:tcPr>
          <w:p w:rsidR="006D093F" w:rsidRPr="005F6C3F" w:rsidRDefault="006D093F" w:rsidP="000346B3">
            <w:pPr>
              <w:adjustRightInd w:val="0"/>
              <w:snapToGrid w:val="0"/>
              <w:spacing w:after="0" w:line="240" w:lineRule="auto"/>
              <w:jc w:val="right"/>
              <w:rPr>
                <w:rFonts w:ascii="Times New Roman" w:hAnsi="Times New Roman" w:cs="Times New Roman"/>
                <w:color w:val="000000"/>
                <w:sz w:val="16"/>
                <w:szCs w:val="16"/>
              </w:rPr>
            </w:pPr>
            <w:r w:rsidRPr="005F6C3F">
              <w:rPr>
                <w:rFonts w:ascii="Times New Roman" w:hAnsi="Times New Roman" w:cs="Times New Roman"/>
                <w:color w:val="000000"/>
                <w:sz w:val="16"/>
                <w:szCs w:val="16"/>
              </w:rPr>
              <w:t>,077</w:t>
            </w:r>
          </w:p>
        </w:tc>
        <w:tc>
          <w:tcPr>
            <w:tcW w:w="972" w:type="dxa"/>
            <w:tcBorders>
              <w:top w:val="nil"/>
              <w:bottom w:val="nil"/>
            </w:tcBorders>
            <w:shd w:val="clear" w:color="auto" w:fill="FFFFFF"/>
            <w:vAlign w:val="center"/>
          </w:tcPr>
          <w:p w:rsidR="006D093F" w:rsidRPr="005F6C3F" w:rsidRDefault="006D093F" w:rsidP="000346B3">
            <w:pPr>
              <w:adjustRightInd w:val="0"/>
              <w:snapToGrid w:val="0"/>
              <w:spacing w:after="0" w:line="240" w:lineRule="auto"/>
              <w:jc w:val="right"/>
              <w:rPr>
                <w:rFonts w:ascii="Times New Roman" w:hAnsi="Times New Roman" w:cs="Times New Roman"/>
                <w:color w:val="000000"/>
                <w:sz w:val="16"/>
                <w:szCs w:val="16"/>
              </w:rPr>
            </w:pPr>
            <w:r w:rsidRPr="005F6C3F">
              <w:rPr>
                <w:rFonts w:ascii="Times New Roman" w:hAnsi="Times New Roman" w:cs="Times New Roman"/>
                <w:color w:val="000000"/>
                <w:sz w:val="16"/>
                <w:szCs w:val="16"/>
              </w:rPr>
              <w:t>,212</w:t>
            </w:r>
          </w:p>
        </w:tc>
        <w:tc>
          <w:tcPr>
            <w:tcW w:w="811" w:type="dxa"/>
            <w:tcBorders>
              <w:top w:val="nil"/>
              <w:bottom w:val="nil"/>
            </w:tcBorders>
            <w:shd w:val="clear" w:color="auto" w:fill="FFFFFF"/>
            <w:vAlign w:val="center"/>
          </w:tcPr>
          <w:p w:rsidR="006D093F" w:rsidRPr="005F6C3F" w:rsidRDefault="006D093F" w:rsidP="000346B3">
            <w:pPr>
              <w:adjustRightInd w:val="0"/>
              <w:snapToGrid w:val="0"/>
              <w:spacing w:after="0" w:line="240" w:lineRule="auto"/>
              <w:jc w:val="right"/>
              <w:rPr>
                <w:rFonts w:ascii="Times New Roman" w:hAnsi="Times New Roman" w:cs="Times New Roman"/>
                <w:color w:val="000000"/>
                <w:sz w:val="16"/>
                <w:szCs w:val="16"/>
              </w:rPr>
            </w:pPr>
            <w:r w:rsidRPr="005F6C3F">
              <w:rPr>
                <w:rFonts w:ascii="Times New Roman" w:hAnsi="Times New Roman" w:cs="Times New Roman"/>
                <w:color w:val="000000"/>
                <w:sz w:val="16"/>
                <w:szCs w:val="16"/>
              </w:rPr>
              <w:t>1,000</w:t>
            </w:r>
          </w:p>
        </w:tc>
        <w:tc>
          <w:tcPr>
            <w:tcW w:w="648" w:type="dxa"/>
            <w:tcBorders>
              <w:top w:val="nil"/>
              <w:bottom w:val="nil"/>
              <w:right w:val="single" w:sz="16" w:space="0" w:color="000000"/>
            </w:tcBorders>
            <w:shd w:val="clear" w:color="auto" w:fill="FFFFFF"/>
            <w:vAlign w:val="center"/>
          </w:tcPr>
          <w:p w:rsidR="006D093F" w:rsidRPr="005F6C3F" w:rsidRDefault="006D093F" w:rsidP="000346B3">
            <w:pPr>
              <w:adjustRightInd w:val="0"/>
              <w:snapToGrid w:val="0"/>
              <w:spacing w:after="0" w:line="240" w:lineRule="auto"/>
              <w:jc w:val="right"/>
              <w:rPr>
                <w:rFonts w:ascii="Times New Roman" w:hAnsi="Times New Roman" w:cs="Times New Roman"/>
                <w:color w:val="000000"/>
                <w:sz w:val="16"/>
                <w:szCs w:val="16"/>
              </w:rPr>
            </w:pPr>
            <w:r w:rsidRPr="005F6C3F">
              <w:rPr>
                <w:rFonts w:ascii="Times New Roman" w:hAnsi="Times New Roman" w:cs="Times New Roman"/>
                <w:color w:val="000000"/>
                <w:sz w:val="16"/>
                <w:szCs w:val="16"/>
              </w:rPr>
              <w:t>1,000</w:t>
            </w:r>
          </w:p>
        </w:tc>
      </w:tr>
      <w:tr w:rsidR="006D093F" w:rsidRPr="005F6C3F" w:rsidTr="000346B3">
        <w:trPr>
          <w:cantSplit/>
          <w:trHeight w:val="149"/>
        </w:trPr>
        <w:tc>
          <w:tcPr>
            <w:tcW w:w="936" w:type="dxa"/>
            <w:vMerge/>
            <w:tcBorders>
              <w:top w:val="single" w:sz="16" w:space="0" w:color="000000"/>
              <w:left w:val="single" w:sz="16" w:space="0" w:color="000000"/>
              <w:bottom w:val="single" w:sz="16" w:space="0" w:color="000000"/>
              <w:right w:val="nil"/>
            </w:tcBorders>
            <w:shd w:val="clear" w:color="auto" w:fill="FFFFFF"/>
            <w:vAlign w:val="center"/>
          </w:tcPr>
          <w:p w:rsidR="006D093F" w:rsidRPr="005F6C3F" w:rsidRDefault="006D093F" w:rsidP="000346B3">
            <w:pPr>
              <w:adjustRightInd w:val="0"/>
              <w:snapToGrid w:val="0"/>
              <w:spacing w:after="0" w:line="240" w:lineRule="auto"/>
              <w:rPr>
                <w:rFonts w:ascii="Times New Roman" w:hAnsi="Times New Roman" w:cs="Times New Roman"/>
                <w:color w:val="000000"/>
                <w:sz w:val="16"/>
                <w:szCs w:val="16"/>
              </w:rPr>
            </w:pPr>
          </w:p>
        </w:tc>
        <w:tc>
          <w:tcPr>
            <w:tcW w:w="2146" w:type="dxa"/>
            <w:tcBorders>
              <w:top w:val="nil"/>
              <w:left w:val="nil"/>
              <w:bottom w:val="nil"/>
              <w:right w:val="single" w:sz="16" w:space="0" w:color="000000"/>
            </w:tcBorders>
            <w:shd w:val="clear" w:color="auto" w:fill="FFFFFF"/>
            <w:vAlign w:val="center"/>
          </w:tcPr>
          <w:p w:rsidR="006D093F" w:rsidRPr="005F6C3F" w:rsidRDefault="006D093F" w:rsidP="007969CB">
            <w:pPr>
              <w:adjustRightInd w:val="0"/>
              <w:snapToGrid w:val="0"/>
              <w:spacing w:after="0" w:line="240" w:lineRule="auto"/>
              <w:rPr>
                <w:rFonts w:ascii="Times New Roman" w:hAnsi="Times New Roman" w:cs="Times New Roman"/>
                <w:color w:val="000000"/>
                <w:sz w:val="16"/>
                <w:szCs w:val="16"/>
              </w:rPr>
            </w:pPr>
            <w:r w:rsidRPr="005F6C3F">
              <w:rPr>
                <w:rFonts w:ascii="Times New Roman" w:hAnsi="Times New Roman" w:cs="Times New Roman"/>
                <w:color w:val="000000"/>
                <w:sz w:val="16"/>
                <w:szCs w:val="16"/>
              </w:rPr>
              <w:t>PCA3_</w:t>
            </w:r>
            <w:r w:rsidR="007969CB">
              <w:rPr>
                <w:rFonts w:ascii="Times New Roman" w:hAnsi="Times New Roman" w:cs="Times New Roman"/>
                <w:color w:val="000000"/>
                <w:sz w:val="16"/>
                <w:szCs w:val="16"/>
              </w:rPr>
              <w:t>Motive</w:t>
            </w:r>
          </w:p>
        </w:tc>
        <w:tc>
          <w:tcPr>
            <w:tcW w:w="810" w:type="dxa"/>
            <w:tcBorders>
              <w:top w:val="nil"/>
              <w:left w:val="single" w:sz="16" w:space="0" w:color="000000"/>
              <w:bottom w:val="nil"/>
            </w:tcBorders>
            <w:shd w:val="clear" w:color="auto" w:fill="FFFFFF"/>
            <w:vAlign w:val="center"/>
          </w:tcPr>
          <w:p w:rsidR="006D093F" w:rsidRPr="005F6C3F" w:rsidRDefault="006D093F" w:rsidP="000346B3">
            <w:pPr>
              <w:adjustRightInd w:val="0"/>
              <w:snapToGrid w:val="0"/>
              <w:spacing w:after="0" w:line="240" w:lineRule="auto"/>
              <w:jc w:val="right"/>
              <w:rPr>
                <w:rFonts w:ascii="Times New Roman" w:hAnsi="Times New Roman" w:cs="Times New Roman"/>
                <w:color w:val="000000"/>
                <w:sz w:val="16"/>
                <w:szCs w:val="16"/>
              </w:rPr>
            </w:pPr>
            <w:r w:rsidRPr="005F6C3F">
              <w:rPr>
                <w:rFonts w:ascii="Times New Roman" w:hAnsi="Times New Roman" w:cs="Times New Roman"/>
                <w:color w:val="000000"/>
                <w:sz w:val="16"/>
                <w:szCs w:val="16"/>
              </w:rPr>
              <w:t>,367</w:t>
            </w:r>
          </w:p>
        </w:tc>
        <w:tc>
          <w:tcPr>
            <w:tcW w:w="811" w:type="dxa"/>
            <w:tcBorders>
              <w:top w:val="nil"/>
              <w:bottom w:val="nil"/>
            </w:tcBorders>
            <w:shd w:val="clear" w:color="auto" w:fill="FFFFFF"/>
            <w:vAlign w:val="center"/>
          </w:tcPr>
          <w:p w:rsidR="006D093F" w:rsidRPr="005F6C3F" w:rsidRDefault="006D093F" w:rsidP="000346B3">
            <w:pPr>
              <w:adjustRightInd w:val="0"/>
              <w:snapToGrid w:val="0"/>
              <w:spacing w:after="0" w:line="240" w:lineRule="auto"/>
              <w:jc w:val="right"/>
              <w:rPr>
                <w:rFonts w:ascii="Times New Roman" w:hAnsi="Times New Roman" w:cs="Times New Roman"/>
                <w:color w:val="000000"/>
                <w:sz w:val="16"/>
                <w:szCs w:val="16"/>
              </w:rPr>
            </w:pPr>
            <w:r w:rsidRPr="005F6C3F">
              <w:rPr>
                <w:rFonts w:ascii="Times New Roman" w:hAnsi="Times New Roman" w:cs="Times New Roman"/>
                <w:color w:val="000000"/>
                <w:sz w:val="16"/>
                <w:szCs w:val="16"/>
              </w:rPr>
              <w:t>,034</w:t>
            </w:r>
          </w:p>
        </w:tc>
        <w:tc>
          <w:tcPr>
            <w:tcW w:w="1135" w:type="dxa"/>
            <w:tcBorders>
              <w:top w:val="nil"/>
              <w:bottom w:val="nil"/>
            </w:tcBorders>
            <w:shd w:val="clear" w:color="auto" w:fill="FFFFFF"/>
            <w:vAlign w:val="center"/>
          </w:tcPr>
          <w:p w:rsidR="006D093F" w:rsidRPr="005F6C3F" w:rsidRDefault="006D093F" w:rsidP="000346B3">
            <w:pPr>
              <w:adjustRightInd w:val="0"/>
              <w:snapToGrid w:val="0"/>
              <w:spacing w:after="0" w:line="240" w:lineRule="auto"/>
              <w:jc w:val="right"/>
              <w:rPr>
                <w:rFonts w:ascii="Times New Roman" w:hAnsi="Times New Roman" w:cs="Times New Roman"/>
                <w:color w:val="000000"/>
                <w:sz w:val="16"/>
                <w:szCs w:val="16"/>
              </w:rPr>
            </w:pPr>
            <w:r w:rsidRPr="005F6C3F">
              <w:rPr>
                <w:rFonts w:ascii="Times New Roman" w:hAnsi="Times New Roman" w:cs="Times New Roman"/>
                <w:color w:val="000000"/>
                <w:sz w:val="16"/>
                <w:szCs w:val="16"/>
              </w:rPr>
              <w:t>,449</w:t>
            </w:r>
          </w:p>
        </w:tc>
        <w:tc>
          <w:tcPr>
            <w:tcW w:w="648" w:type="dxa"/>
            <w:tcBorders>
              <w:top w:val="nil"/>
              <w:bottom w:val="nil"/>
            </w:tcBorders>
            <w:shd w:val="clear" w:color="auto" w:fill="FFFFFF"/>
            <w:vAlign w:val="center"/>
          </w:tcPr>
          <w:p w:rsidR="006D093F" w:rsidRPr="005F6C3F" w:rsidRDefault="006D093F" w:rsidP="000346B3">
            <w:pPr>
              <w:adjustRightInd w:val="0"/>
              <w:snapToGrid w:val="0"/>
              <w:spacing w:after="0" w:line="240" w:lineRule="auto"/>
              <w:jc w:val="right"/>
              <w:rPr>
                <w:rFonts w:ascii="Times New Roman" w:hAnsi="Times New Roman" w:cs="Times New Roman"/>
                <w:color w:val="000000"/>
                <w:sz w:val="16"/>
                <w:szCs w:val="16"/>
              </w:rPr>
            </w:pPr>
            <w:r w:rsidRPr="005F6C3F">
              <w:rPr>
                <w:rFonts w:ascii="Times New Roman" w:hAnsi="Times New Roman" w:cs="Times New Roman"/>
                <w:color w:val="000000"/>
                <w:sz w:val="16"/>
                <w:szCs w:val="16"/>
              </w:rPr>
              <w:t>10,660</w:t>
            </w:r>
          </w:p>
        </w:tc>
        <w:tc>
          <w:tcPr>
            <w:tcW w:w="648" w:type="dxa"/>
            <w:tcBorders>
              <w:top w:val="nil"/>
              <w:bottom w:val="nil"/>
            </w:tcBorders>
            <w:shd w:val="clear" w:color="auto" w:fill="FFFFFF"/>
            <w:vAlign w:val="center"/>
          </w:tcPr>
          <w:p w:rsidR="006D093F" w:rsidRPr="005F6C3F" w:rsidRDefault="006D093F" w:rsidP="000346B3">
            <w:pPr>
              <w:adjustRightInd w:val="0"/>
              <w:snapToGrid w:val="0"/>
              <w:spacing w:after="0" w:line="240" w:lineRule="auto"/>
              <w:jc w:val="right"/>
              <w:rPr>
                <w:rFonts w:ascii="Times New Roman" w:hAnsi="Times New Roman" w:cs="Times New Roman"/>
                <w:color w:val="000000"/>
                <w:sz w:val="16"/>
                <w:szCs w:val="16"/>
              </w:rPr>
            </w:pPr>
            <w:r w:rsidRPr="005F6C3F">
              <w:rPr>
                <w:rFonts w:ascii="Times New Roman" w:hAnsi="Times New Roman" w:cs="Times New Roman"/>
                <w:color w:val="000000"/>
                <w:sz w:val="16"/>
                <w:szCs w:val="16"/>
              </w:rPr>
              <w:t>,000</w:t>
            </w:r>
          </w:p>
        </w:tc>
        <w:tc>
          <w:tcPr>
            <w:tcW w:w="973" w:type="dxa"/>
            <w:tcBorders>
              <w:top w:val="nil"/>
              <w:bottom w:val="nil"/>
            </w:tcBorders>
            <w:shd w:val="clear" w:color="auto" w:fill="FFFFFF"/>
            <w:vAlign w:val="center"/>
          </w:tcPr>
          <w:p w:rsidR="006D093F" w:rsidRPr="005F6C3F" w:rsidRDefault="006D093F" w:rsidP="000346B3">
            <w:pPr>
              <w:adjustRightInd w:val="0"/>
              <w:snapToGrid w:val="0"/>
              <w:spacing w:after="0" w:line="240" w:lineRule="auto"/>
              <w:jc w:val="right"/>
              <w:rPr>
                <w:rFonts w:ascii="Times New Roman" w:hAnsi="Times New Roman" w:cs="Times New Roman"/>
                <w:color w:val="000000"/>
                <w:sz w:val="16"/>
                <w:szCs w:val="16"/>
              </w:rPr>
            </w:pPr>
            <w:r w:rsidRPr="005F6C3F">
              <w:rPr>
                <w:rFonts w:ascii="Times New Roman" w:hAnsi="Times New Roman" w:cs="Times New Roman"/>
                <w:color w:val="000000"/>
                <w:sz w:val="16"/>
                <w:szCs w:val="16"/>
              </w:rPr>
              <w:t>,299</w:t>
            </w:r>
          </w:p>
        </w:tc>
        <w:tc>
          <w:tcPr>
            <w:tcW w:w="972" w:type="dxa"/>
            <w:tcBorders>
              <w:top w:val="nil"/>
              <w:bottom w:val="nil"/>
            </w:tcBorders>
            <w:shd w:val="clear" w:color="auto" w:fill="FFFFFF"/>
            <w:vAlign w:val="center"/>
          </w:tcPr>
          <w:p w:rsidR="006D093F" w:rsidRPr="005F6C3F" w:rsidRDefault="006D093F" w:rsidP="000346B3">
            <w:pPr>
              <w:adjustRightInd w:val="0"/>
              <w:snapToGrid w:val="0"/>
              <w:spacing w:after="0" w:line="240" w:lineRule="auto"/>
              <w:jc w:val="right"/>
              <w:rPr>
                <w:rFonts w:ascii="Times New Roman" w:hAnsi="Times New Roman" w:cs="Times New Roman"/>
                <w:color w:val="000000"/>
                <w:sz w:val="16"/>
                <w:szCs w:val="16"/>
              </w:rPr>
            </w:pPr>
            <w:r w:rsidRPr="005F6C3F">
              <w:rPr>
                <w:rFonts w:ascii="Times New Roman" w:hAnsi="Times New Roman" w:cs="Times New Roman"/>
                <w:color w:val="000000"/>
                <w:sz w:val="16"/>
                <w:szCs w:val="16"/>
              </w:rPr>
              <w:t>,435</w:t>
            </w:r>
          </w:p>
        </w:tc>
        <w:tc>
          <w:tcPr>
            <w:tcW w:w="811" w:type="dxa"/>
            <w:tcBorders>
              <w:top w:val="nil"/>
              <w:bottom w:val="nil"/>
            </w:tcBorders>
            <w:shd w:val="clear" w:color="auto" w:fill="FFFFFF"/>
            <w:vAlign w:val="center"/>
          </w:tcPr>
          <w:p w:rsidR="006D093F" w:rsidRPr="005F6C3F" w:rsidRDefault="006D093F" w:rsidP="000346B3">
            <w:pPr>
              <w:adjustRightInd w:val="0"/>
              <w:snapToGrid w:val="0"/>
              <w:spacing w:after="0" w:line="240" w:lineRule="auto"/>
              <w:jc w:val="right"/>
              <w:rPr>
                <w:rFonts w:ascii="Times New Roman" w:hAnsi="Times New Roman" w:cs="Times New Roman"/>
                <w:color w:val="000000"/>
                <w:sz w:val="16"/>
                <w:szCs w:val="16"/>
              </w:rPr>
            </w:pPr>
            <w:r w:rsidRPr="005F6C3F">
              <w:rPr>
                <w:rFonts w:ascii="Times New Roman" w:hAnsi="Times New Roman" w:cs="Times New Roman"/>
                <w:color w:val="000000"/>
                <w:sz w:val="16"/>
                <w:szCs w:val="16"/>
              </w:rPr>
              <w:t>1,000</w:t>
            </w:r>
          </w:p>
        </w:tc>
        <w:tc>
          <w:tcPr>
            <w:tcW w:w="648" w:type="dxa"/>
            <w:tcBorders>
              <w:top w:val="nil"/>
              <w:bottom w:val="nil"/>
              <w:right w:val="single" w:sz="16" w:space="0" w:color="000000"/>
            </w:tcBorders>
            <w:shd w:val="clear" w:color="auto" w:fill="FFFFFF"/>
            <w:vAlign w:val="center"/>
          </w:tcPr>
          <w:p w:rsidR="006D093F" w:rsidRPr="005F6C3F" w:rsidRDefault="006D093F" w:rsidP="000346B3">
            <w:pPr>
              <w:adjustRightInd w:val="0"/>
              <w:snapToGrid w:val="0"/>
              <w:spacing w:after="0" w:line="240" w:lineRule="auto"/>
              <w:jc w:val="right"/>
              <w:rPr>
                <w:rFonts w:ascii="Times New Roman" w:hAnsi="Times New Roman" w:cs="Times New Roman"/>
                <w:color w:val="000000"/>
                <w:sz w:val="16"/>
                <w:szCs w:val="16"/>
              </w:rPr>
            </w:pPr>
            <w:r w:rsidRPr="005F6C3F">
              <w:rPr>
                <w:rFonts w:ascii="Times New Roman" w:hAnsi="Times New Roman" w:cs="Times New Roman"/>
                <w:color w:val="000000"/>
                <w:sz w:val="16"/>
                <w:szCs w:val="16"/>
              </w:rPr>
              <w:t>1,000</w:t>
            </w:r>
          </w:p>
        </w:tc>
      </w:tr>
      <w:tr w:rsidR="006D093F" w:rsidRPr="005F6C3F" w:rsidTr="000346B3">
        <w:trPr>
          <w:cantSplit/>
          <w:trHeight w:val="149"/>
        </w:trPr>
        <w:tc>
          <w:tcPr>
            <w:tcW w:w="936" w:type="dxa"/>
            <w:vMerge/>
            <w:tcBorders>
              <w:top w:val="single" w:sz="16" w:space="0" w:color="000000"/>
              <w:left w:val="single" w:sz="16" w:space="0" w:color="000000"/>
              <w:bottom w:val="single" w:sz="16" w:space="0" w:color="000000"/>
              <w:right w:val="nil"/>
            </w:tcBorders>
            <w:shd w:val="clear" w:color="auto" w:fill="FFFFFF"/>
            <w:vAlign w:val="center"/>
          </w:tcPr>
          <w:p w:rsidR="006D093F" w:rsidRPr="005F6C3F" w:rsidRDefault="006D093F" w:rsidP="000346B3">
            <w:pPr>
              <w:adjustRightInd w:val="0"/>
              <w:snapToGrid w:val="0"/>
              <w:spacing w:after="0" w:line="240" w:lineRule="auto"/>
              <w:rPr>
                <w:rFonts w:ascii="Times New Roman" w:hAnsi="Times New Roman" w:cs="Times New Roman"/>
                <w:color w:val="000000"/>
                <w:sz w:val="16"/>
                <w:szCs w:val="16"/>
              </w:rPr>
            </w:pPr>
          </w:p>
        </w:tc>
        <w:tc>
          <w:tcPr>
            <w:tcW w:w="2146" w:type="dxa"/>
            <w:tcBorders>
              <w:top w:val="nil"/>
              <w:left w:val="nil"/>
              <w:bottom w:val="nil"/>
              <w:right w:val="single" w:sz="16" w:space="0" w:color="000000"/>
            </w:tcBorders>
            <w:shd w:val="clear" w:color="auto" w:fill="FFFFFF"/>
            <w:vAlign w:val="center"/>
          </w:tcPr>
          <w:p w:rsidR="006D093F" w:rsidRPr="005F6C3F" w:rsidRDefault="006D093F" w:rsidP="000346B3">
            <w:pPr>
              <w:adjustRightInd w:val="0"/>
              <w:snapToGrid w:val="0"/>
              <w:spacing w:after="0" w:line="240" w:lineRule="auto"/>
              <w:rPr>
                <w:rFonts w:ascii="Times New Roman" w:hAnsi="Times New Roman" w:cs="Times New Roman"/>
                <w:color w:val="000000"/>
                <w:sz w:val="16"/>
                <w:szCs w:val="16"/>
              </w:rPr>
            </w:pPr>
            <w:r w:rsidRPr="005F6C3F">
              <w:rPr>
                <w:rFonts w:ascii="Times New Roman" w:hAnsi="Times New Roman" w:cs="Times New Roman"/>
                <w:color w:val="000000"/>
                <w:sz w:val="16"/>
                <w:szCs w:val="16"/>
              </w:rPr>
              <w:t>PCA4_Obstac</w:t>
            </w:r>
            <w:r w:rsidR="007969CB">
              <w:rPr>
                <w:rFonts w:ascii="Times New Roman" w:hAnsi="Times New Roman" w:cs="Times New Roman"/>
                <w:color w:val="000000"/>
                <w:sz w:val="16"/>
                <w:szCs w:val="16"/>
              </w:rPr>
              <w:t>ole</w:t>
            </w:r>
          </w:p>
        </w:tc>
        <w:tc>
          <w:tcPr>
            <w:tcW w:w="810" w:type="dxa"/>
            <w:tcBorders>
              <w:top w:val="nil"/>
              <w:left w:val="single" w:sz="16" w:space="0" w:color="000000"/>
              <w:bottom w:val="nil"/>
            </w:tcBorders>
            <w:shd w:val="clear" w:color="auto" w:fill="FFFFFF"/>
            <w:vAlign w:val="center"/>
          </w:tcPr>
          <w:p w:rsidR="006D093F" w:rsidRPr="005F6C3F" w:rsidRDefault="006D093F" w:rsidP="000346B3">
            <w:pPr>
              <w:adjustRightInd w:val="0"/>
              <w:snapToGrid w:val="0"/>
              <w:spacing w:after="0" w:line="240" w:lineRule="auto"/>
              <w:jc w:val="right"/>
              <w:rPr>
                <w:rFonts w:ascii="Times New Roman" w:hAnsi="Times New Roman" w:cs="Times New Roman"/>
                <w:color w:val="000000"/>
                <w:sz w:val="16"/>
                <w:szCs w:val="16"/>
              </w:rPr>
            </w:pPr>
            <w:r w:rsidRPr="005F6C3F">
              <w:rPr>
                <w:rFonts w:ascii="Times New Roman" w:hAnsi="Times New Roman" w:cs="Times New Roman"/>
                <w:color w:val="000000"/>
                <w:sz w:val="16"/>
                <w:szCs w:val="16"/>
              </w:rPr>
              <w:t>,053</w:t>
            </w:r>
          </w:p>
        </w:tc>
        <w:tc>
          <w:tcPr>
            <w:tcW w:w="811" w:type="dxa"/>
            <w:tcBorders>
              <w:top w:val="nil"/>
              <w:bottom w:val="nil"/>
            </w:tcBorders>
            <w:shd w:val="clear" w:color="auto" w:fill="FFFFFF"/>
            <w:vAlign w:val="center"/>
          </w:tcPr>
          <w:p w:rsidR="006D093F" w:rsidRPr="005F6C3F" w:rsidRDefault="006D093F" w:rsidP="000346B3">
            <w:pPr>
              <w:adjustRightInd w:val="0"/>
              <w:snapToGrid w:val="0"/>
              <w:spacing w:after="0" w:line="240" w:lineRule="auto"/>
              <w:jc w:val="right"/>
              <w:rPr>
                <w:rFonts w:ascii="Times New Roman" w:hAnsi="Times New Roman" w:cs="Times New Roman"/>
                <w:color w:val="000000"/>
                <w:sz w:val="16"/>
                <w:szCs w:val="16"/>
              </w:rPr>
            </w:pPr>
            <w:r w:rsidRPr="005F6C3F">
              <w:rPr>
                <w:rFonts w:ascii="Times New Roman" w:hAnsi="Times New Roman" w:cs="Times New Roman"/>
                <w:color w:val="000000"/>
                <w:sz w:val="16"/>
                <w:szCs w:val="16"/>
              </w:rPr>
              <w:t>,034</w:t>
            </w:r>
          </w:p>
        </w:tc>
        <w:tc>
          <w:tcPr>
            <w:tcW w:w="1135" w:type="dxa"/>
            <w:tcBorders>
              <w:top w:val="nil"/>
              <w:bottom w:val="nil"/>
            </w:tcBorders>
            <w:shd w:val="clear" w:color="auto" w:fill="FFFFFF"/>
            <w:vAlign w:val="center"/>
          </w:tcPr>
          <w:p w:rsidR="006D093F" w:rsidRPr="005F6C3F" w:rsidRDefault="006D093F" w:rsidP="000346B3">
            <w:pPr>
              <w:adjustRightInd w:val="0"/>
              <w:snapToGrid w:val="0"/>
              <w:spacing w:after="0" w:line="240" w:lineRule="auto"/>
              <w:jc w:val="right"/>
              <w:rPr>
                <w:rFonts w:ascii="Times New Roman" w:hAnsi="Times New Roman" w:cs="Times New Roman"/>
                <w:color w:val="000000"/>
                <w:sz w:val="16"/>
                <w:szCs w:val="16"/>
              </w:rPr>
            </w:pPr>
            <w:r w:rsidRPr="005F6C3F">
              <w:rPr>
                <w:rFonts w:ascii="Times New Roman" w:hAnsi="Times New Roman" w:cs="Times New Roman"/>
                <w:color w:val="000000"/>
                <w:sz w:val="16"/>
                <w:szCs w:val="16"/>
              </w:rPr>
              <w:t>,064</w:t>
            </w:r>
          </w:p>
        </w:tc>
        <w:tc>
          <w:tcPr>
            <w:tcW w:w="648" w:type="dxa"/>
            <w:tcBorders>
              <w:top w:val="nil"/>
              <w:bottom w:val="nil"/>
            </w:tcBorders>
            <w:shd w:val="clear" w:color="auto" w:fill="FFFFFF"/>
            <w:vAlign w:val="center"/>
          </w:tcPr>
          <w:p w:rsidR="006D093F" w:rsidRPr="005F6C3F" w:rsidRDefault="006D093F" w:rsidP="000346B3">
            <w:pPr>
              <w:adjustRightInd w:val="0"/>
              <w:snapToGrid w:val="0"/>
              <w:spacing w:after="0" w:line="240" w:lineRule="auto"/>
              <w:jc w:val="right"/>
              <w:rPr>
                <w:rFonts w:ascii="Times New Roman" w:hAnsi="Times New Roman" w:cs="Times New Roman"/>
                <w:color w:val="000000"/>
                <w:sz w:val="16"/>
                <w:szCs w:val="16"/>
              </w:rPr>
            </w:pPr>
            <w:r w:rsidRPr="005F6C3F">
              <w:rPr>
                <w:rFonts w:ascii="Times New Roman" w:hAnsi="Times New Roman" w:cs="Times New Roman"/>
                <w:color w:val="000000"/>
                <w:sz w:val="16"/>
                <w:szCs w:val="16"/>
              </w:rPr>
              <w:t>1,528</w:t>
            </w:r>
          </w:p>
        </w:tc>
        <w:tc>
          <w:tcPr>
            <w:tcW w:w="648" w:type="dxa"/>
            <w:tcBorders>
              <w:top w:val="nil"/>
              <w:bottom w:val="nil"/>
            </w:tcBorders>
            <w:shd w:val="clear" w:color="auto" w:fill="FFFFFF"/>
            <w:vAlign w:val="center"/>
          </w:tcPr>
          <w:p w:rsidR="006D093F" w:rsidRPr="005F6C3F" w:rsidRDefault="006D093F" w:rsidP="000346B3">
            <w:pPr>
              <w:adjustRightInd w:val="0"/>
              <w:snapToGrid w:val="0"/>
              <w:spacing w:after="0" w:line="240" w:lineRule="auto"/>
              <w:jc w:val="right"/>
              <w:rPr>
                <w:rFonts w:ascii="Times New Roman" w:hAnsi="Times New Roman" w:cs="Times New Roman"/>
                <w:b/>
                <w:color w:val="000000"/>
                <w:sz w:val="16"/>
                <w:szCs w:val="16"/>
              </w:rPr>
            </w:pPr>
            <w:r w:rsidRPr="005F6C3F">
              <w:rPr>
                <w:rFonts w:ascii="Times New Roman" w:hAnsi="Times New Roman" w:cs="Times New Roman"/>
                <w:b/>
                <w:color w:val="000000"/>
                <w:sz w:val="16"/>
                <w:szCs w:val="16"/>
              </w:rPr>
              <w:t>,127</w:t>
            </w:r>
          </w:p>
        </w:tc>
        <w:tc>
          <w:tcPr>
            <w:tcW w:w="973" w:type="dxa"/>
            <w:tcBorders>
              <w:top w:val="nil"/>
              <w:bottom w:val="nil"/>
            </w:tcBorders>
            <w:shd w:val="clear" w:color="auto" w:fill="FFFFFF"/>
            <w:vAlign w:val="center"/>
          </w:tcPr>
          <w:p w:rsidR="006D093F" w:rsidRPr="005F6C3F" w:rsidRDefault="006D093F" w:rsidP="000346B3">
            <w:pPr>
              <w:adjustRightInd w:val="0"/>
              <w:snapToGrid w:val="0"/>
              <w:spacing w:after="0" w:line="240" w:lineRule="auto"/>
              <w:jc w:val="right"/>
              <w:rPr>
                <w:rFonts w:ascii="Times New Roman" w:hAnsi="Times New Roman" w:cs="Times New Roman"/>
                <w:color w:val="000000"/>
                <w:sz w:val="16"/>
                <w:szCs w:val="16"/>
              </w:rPr>
            </w:pPr>
            <w:r w:rsidRPr="005F6C3F">
              <w:rPr>
                <w:rFonts w:ascii="Times New Roman" w:hAnsi="Times New Roman" w:cs="Times New Roman"/>
                <w:color w:val="000000"/>
                <w:sz w:val="16"/>
                <w:szCs w:val="16"/>
              </w:rPr>
              <w:t>-,015</w:t>
            </w:r>
          </w:p>
        </w:tc>
        <w:tc>
          <w:tcPr>
            <w:tcW w:w="972" w:type="dxa"/>
            <w:tcBorders>
              <w:top w:val="nil"/>
              <w:bottom w:val="nil"/>
            </w:tcBorders>
            <w:shd w:val="clear" w:color="auto" w:fill="FFFFFF"/>
            <w:vAlign w:val="center"/>
          </w:tcPr>
          <w:p w:rsidR="006D093F" w:rsidRPr="005F6C3F" w:rsidRDefault="006D093F" w:rsidP="000346B3">
            <w:pPr>
              <w:adjustRightInd w:val="0"/>
              <w:snapToGrid w:val="0"/>
              <w:spacing w:after="0" w:line="240" w:lineRule="auto"/>
              <w:jc w:val="right"/>
              <w:rPr>
                <w:rFonts w:ascii="Times New Roman" w:hAnsi="Times New Roman" w:cs="Times New Roman"/>
                <w:color w:val="000000"/>
                <w:sz w:val="16"/>
                <w:szCs w:val="16"/>
              </w:rPr>
            </w:pPr>
            <w:r w:rsidRPr="005F6C3F">
              <w:rPr>
                <w:rFonts w:ascii="Times New Roman" w:hAnsi="Times New Roman" w:cs="Times New Roman"/>
                <w:color w:val="000000"/>
                <w:sz w:val="16"/>
                <w:szCs w:val="16"/>
              </w:rPr>
              <w:t>,120</w:t>
            </w:r>
          </w:p>
        </w:tc>
        <w:tc>
          <w:tcPr>
            <w:tcW w:w="811" w:type="dxa"/>
            <w:tcBorders>
              <w:top w:val="nil"/>
              <w:bottom w:val="nil"/>
            </w:tcBorders>
            <w:shd w:val="clear" w:color="auto" w:fill="FFFFFF"/>
            <w:vAlign w:val="center"/>
          </w:tcPr>
          <w:p w:rsidR="006D093F" w:rsidRPr="005F6C3F" w:rsidRDefault="006D093F" w:rsidP="000346B3">
            <w:pPr>
              <w:adjustRightInd w:val="0"/>
              <w:snapToGrid w:val="0"/>
              <w:spacing w:after="0" w:line="240" w:lineRule="auto"/>
              <w:jc w:val="right"/>
              <w:rPr>
                <w:rFonts w:ascii="Times New Roman" w:hAnsi="Times New Roman" w:cs="Times New Roman"/>
                <w:color w:val="000000"/>
                <w:sz w:val="16"/>
                <w:szCs w:val="16"/>
              </w:rPr>
            </w:pPr>
            <w:r w:rsidRPr="005F6C3F">
              <w:rPr>
                <w:rFonts w:ascii="Times New Roman" w:hAnsi="Times New Roman" w:cs="Times New Roman"/>
                <w:color w:val="000000"/>
                <w:sz w:val="16"/>
                <w:szCs w:val="16"/>
              </w:rPr>
              <w:t>1,000</w:t>
            </w:r>
          </w:p>
        </w:tc>
        <w:tc>
          <w:tcPr>
            <w:tcW w:w="648" w:type="dxa"/>
            <w:tcBorders>
              <w:top w:val="nil"/>
              <w:bottom w:val="nil"/>
              <w:right w:val="single" w:sz="16" w:space="0" w:color="000000"/>
            </w:tcBorders>
            <w:shd w:val="clear" w:color="auto" w:fill="FFFFFF"/>
            <w:vAlign w:val="center"/>
          </w:tcPr>
          <w:p w:rsidR="006D093F" w:rsidRPr="005F6C3F" w:rsidRDefault="006D093F" w:rsidP="000346B3">
            <w:pPr>
              <w:adjustRightInd w:val="0"/>
              <w:snapToGrid w:val="0"/>
              <w:spacing w:after="0" w:line="240" w:lineRule="auto"/>
              <w:jc w:val="right"/>
              <w:rPr>
                <w:rFonts w:ascii="Times New Roman" w:hAnsi="Times New Roman" w:cs="Times New Roman"/>
                <w:color w:val="000000"/>
                <w:sz w:val="16"/>
                <w:szCs w:val="16"/>
              </w:rPr>
            </w:pPr>
            <w:r w:rsidRPr="005F6C3F">
              <w:rPr>
                <w:rFonts w:ascii="Times New Roman" w:hAnsi="Times New Roman" w:cs="Times New Roman"/>
                <w:color w:val="000000"/>
                <w:sz w:val="16"/>
                <w:szCs w:val="16"/>
              </w:rPr>
              <w:t>1,000</w:t>
            </w:r>
          </w:p>
        </w:tc>
      </w:tr>
      <w:tr w:rsidR="006D093F" w:rsidRPr="005F6C3F" w:rsidTr="000346B3">
        <w:trPr>
          <w:cantSplit/>
          <w:trHeight w:val="149"/>
        </w:trPr>
        <w:tc>
          <w:tcPr>
            <w:tcW w:w="936" w:type="dxa"/>
            <w:vMerge/>
            <w:tcBorders>
              <w:top w:val="single" w:sz="16" w:space="0" w:color="000000"/>
              <w:left w:val="single" w:sz="16" w:space="0" w:color="000000"/>
              <w:bottom w:val="single" w:sz="16" w:space="0" w:color="000000"/>
              <w:right w:val="nil"/>
            </w:tcBorders>
            <w:shd w:val="clear" w:color="auto" w:fill="FFFFFF"/>
            <w:vAlign w:val="center"/>
          </w:tcPr>
          <w:p w:rsidR="006D093F" w:rsidRPr="005F6C3F" w:rsidRDefault="006D093F" w:rsidP="000346B3">
            <w:pPr>
              <w:adjustRightInd w:val="0"/>
              <w:snapToGrid w:val="0"/>
              <w:spacing w:after="0" w:line="240" w:lineRule="auto"/>
              <w:rPr>
                <w:rFonts w:ascii="Times New Roman" w:hAnsi="Times New Roman" w:cs="Times New Roman"/>
                <w:color w:val="000000"/>
                <w:sz w:val="16"/>
                <w:szCs w:val="16"/>
              </w:rPr>
            </w:pPr>
          </w:p>
        </w:tc>
        <w:tc>
          <w:tcPr>
            <w:tcW w:w="2146" w:type="dxa"/>
            <w:tcBorders>
              <w:top w:val="nil"/>
              <w:left w:val="nil"/>
              <w:bottom w:val="nil"/>
              <w:right w:val="single" w:sz="16" w:space="0" w:color="000000"/>
            </w:tcBorders>
            <w:shd w:val="clear" w:color="auto" w:fill="FFFFFF"/>
            <w:vAlign w:val="center"/>
          </w:tcPr>
          <w:p w:rsidR="006D093F" w:rsidRPr="005F6C3F" w:rsidRDefault="006D093F" w:rsidP="007969CB">
            <w:pPr>
              <w:adjustRightInd w:val="0"/>
              <w:snapToGrid w:val="0"/>
              <w:spacing w:after="0" w:line="240" w:lineRule="auto"/>
              <w:rPr>
                <w:rFonts w:ascii="Times New Roman" w:hAnsi="Times New Roman" w:cs="Times New Roman"/>
                <w:color w:val="000000"/>
                <w:sz w:val="16"/>
                <w:szCs w:val="16"/>
              </w:rPr>
            </w:pPr>
            <w:r w:rsidRPr="005F6C3F">
              <w:rPr>
                <w:rFonts w:ascii="Times New Roman" w:hAnsi="Times New Roman" w:cs="Times New Roman"/>
                <w:color w:val="000000"/>
                <w:sz w:val="16"/>
                <w:szCs w:val="16"/>
              </w:rPr>
              <w:t>PCA5_B</w:t>
            </w:r>
            <w:r w:rsidR="007969CB">
              <w:rPr>
                <w:rFonts w:ascii="Times New Roman" w:hAnsi="Times New Roman" w:cs="Times New Roman"/>
                <w:color w:val="000000"/>
                <w:sz w:val="16"/>
                <w:szCs w:val="16"/>
              </w:rPr>
              <w:t>irocrație</w:t>
            </w:r>
          </w:p>
        </w:tc>
        <w:tc>
          <w:tcPr>
            <w:tcW w:w="810" w:type="dxa"/>
            <w:tcBorders>
              <w:top w:val="nil"/>
              <w:left w:val="single" w:sz="16" w:space="0" w:color="000000"/>
              <w:bottom w:val="nil"/>
            </w:tcBorders>
            <w:shd w:val="clear" w:color="auto" w:fill="FFFFFF"/>
            <w:vAlign w:val="center"/>
          </w:tcPr>
          <w:p w:rsidR="006D093F" w:rsidRPr="005F6C3F" w:rsidRDefault="006D093F" w:rsidP="000346B3">
            <w:pPr>
              <w:adjustRightInd w:val="0"/>
              <w:snapToGrid w:val="0"/>
              <w:spacing w:after="0" w:line="240" w:lineRule="auto"/>
              <w:jc w:val="right"/>
              <w:rPr>
                <w:rFonts w:ascii="Times New Roman" w:hAnsi="Times New Roman" w:cs="Times New Roman"/>
                <w:color w:val="000000"/>
                <w:sz w:val="16"/>
                <w:szCs w:val="16"/>
              </w:rPr>
            </w:pPr>
            <w:r w:rsidRPr="005F6C3F">
              <w:rPr>
                <w:rFonts w:ascii="Times New Roman" w:hAnsi="Times New Roman" w:cs="Times New Roman"/>
                <w:color w:val="000000"/>
                <w:sz w:val="16"/>
                <w:szCs w:val="16"/>
              </w:rPr>
              <w:t>,045</w:t>
            </w:r>
          </w:p>
        </w:tc>
        <w:tc>
          <w:tcPr>
            <w:tcW w:w="811" w:type="dxa"/>
            <w:tcBorders>
              <w:top w:val="nil"/>
              <w:bottom w:val="nil"/>
            </w:tcBorders>
            <w:shd w:val="clear" w:color="auto" w:fill="FFFFFF"/>
            <w:vAlign w:val="center"/>
          </w:tcPr>
          <w:p w:rsidR="006D093F" w:rsidRPr="005F6C3F" w:rsidRDefault="006D093F" w:rsidP="000346B3">
            <w:pPr>
              <w:adjustRightInd w:val="0"/>
              <w:snapToGrid w:val="0"/>
              <w:spacing w:after="0" w:line="240" w:lineRule="auto"/>
              <w:jc w:val="right"/>
              <w:rPr>
                <w:rFonts w:ascii="Times New Roman" w:hAnsi="Times New Roman" w:cs="Times New Roman"/>
                <w:color w:val="000000"/>
                <w:sz w:val="16"/>
                <w:szCs w:val="16"/>
              </w:rPr>
            </w:pPr>
            <w:r w:rsidRPr="005F6C3F">
              <w:rPr>
                <w:rFonts w:ascii="Times New Roman" w:hAnsi="Times New Roman" w:cs="Times New Roman"/>
                <w:color w:val="000000"/>
                <w:sz w:val="16"/>
                <w:szCs w:val="16"/>
              </w:rPr>
              <w:t>,034</w:t>
            </w:r>
          </w:p>
        </w:tc>
        <w:tc>
          <w:tcPr>
            <w:tcW w:w="1135" w:type="dxa"/>
            <w:tcBorders>
              <w:top w:val="nil"/>
              <w:bottom w:val="nil"/>
            </w:tcBorders>
            <w:shd w:val="clear" w:color="auto" w:fill="FFFFFF"/>
            <w:vAlign w:val="center"/>
          </w:tcPr>
          <w:p w:rsidR="006D093F" w:rsidRPr="005F6C3F" w:rsidRDefault="006D093F" w:rsidP="000346B3">
            <w:pPr>
              <w:adjustRightInd w:val="0"/>
              <w:snapToGrid w:val="0"/>
              <w:spacing w:after="0" w:line="240" w:lineRule="auto"/>
              <w:jc w:val="right"/>
              <w:rPr>
                <w:rFonts w:ascii="Times New Roman" w:hAnsi="Times New Roman" w:cs="Times New Roman"/>
                <w:color w:val="000000"/>
                <w:sz w:val="16"/>
                <w:szCs w:val="16"/>
              </w:rPr>
            </w:pPr>
            <w:r w:rsidRPr="005F6C3F">
              <w:rPr>
                <w:rFonts w:ascii="Times New Roman" w:hAnsi="Times New Roman" w:cs="Times New Roman"/>
                <w:color w:val="000000"/>
                <w:sz w:val="16"/>
                <w:szCs w:val="16"/>
              </w:rPr>
              <w:t>,056</w:t>
            </w:r>
          </w:p>
        </w:tc>
        <w:tc>
          <w:tcPr>
            <w:tcW w:w="648" w:type="dxa"/>
            <w:tcBorders>
              <w:top w:val="nil"/>
              <w:bottom w:val="nil"/>
            </w:tcBorders>
            <w:shd w:val="clear" w:color="auto" w:fill="FFFFFF"/>
            <w:vAlign w:val="center"/>
          </w:tcPr>
          <w:p w:rsidR="006D093F" w:rsidRPr="005F6C3F" w:rsidRDefault="006D093F" w:rsidP="000346B3">
            <w:pPr>
              <w:adjustRightInd w:val="0"/>
              <w:snapToGrid w:val="0"/>
              <w:spacing w:after="0" w:line="240" w:lineRule="auto"/>
              <w:jc w:val="right"/>
              <w:rPr>
                <w:rFonts w:ascii="Times New Roman" w:hAnsi="Times New Roman" w:cs="Times New Roman"/>
                <w:color w:val="000000"/>
                <w:sz w:val="16"/>
                <w:szCs w:val="16"/>
              </w:rPr>
            </w:pPr>
            <w:r w:rsidRPr="005F6C3F">
              <w:rPr>
                <w:rFonts w:ascii="Times New Roman" w:hAnsi="Times New Roman" w:cs="Times New Roman"/>
                <w:color w:val="000000"/>
                <w:sz w:val="16"/>
                <w:szCs w:val="16"/>
              </w:rPr>
              <w:t>1,321</w:t>
            </w:r>
          </w:p>
        </w:tc>
        <w:tc>
          <w:tcPr>
            <w:tcW w:w="648" w:type="dxa"/>
            <w:tcBorders>
              <w:top w:val="nil"/>
              <w:bottom w:val="nil"/>
            </w:tcBorders>
            <w:shd w:val="clear" w:color="auto" w:fill="FFFFFF"/>
            <w:vAlign w:val="center"/>
          </w:tcPr>
          <w:p w:rsidR="006D093F" w:rsidRPr="005F6C3F" w:rsidRDefault="006D093F" w:rsidP="000346B3">
            <w:pPr>
              <w:adjustRightInd w:val="0"/>
              <w:snapToGrid w:val="0"/>
              <w:spacing w:after="0" w:line="240" w:lineRule="auto"/>
              <w:jc w:val="right"/>
              <w:rPr>
                <w:rFonts w:ascii="Times New Roman" w:hAnsi="Times New Roman" w:cs="Times New Roman"/>
                <w:b/>
                <w:color w:val="000000"/>
                <w:sz w:val="16"/>
                <w:szCs w:val="16"/>
              </w:rPr>
            </w:pPr>
            <w:r w:rsidRPr="005F6C3F">
              <w:rPr>
                <w:rFonts w:ascii="Times New Roman" w:hAnsi="Times New Roman" w:cs="Times New Roman"/>
                <w:b/>
                <w:color w:val="000000"/>
                <w:sz w:val="16"/>
                <w:szCs w:val="16"/>
              </w:rPr>
              <w:t>,187</w:t>
            </w:r>
          </w:p>
        </w:tc>
        <w:tc>
          <w:tcPr>
            <w:tcW w:w="973" w:type="dxa"/>
            <w:tcBorders>
              <w:top w:val="nil"/>
              <w:bottom w:val="nil"/>
            </w:tcBorders>
            <w:shd w:val="clear" w:color="auto" w:fill="FFFFFF"/>
            <w:vAlign w:val="center"/>
          </w:tcPr>
          <w:p w:rsidR="006D093F" w:rsidRPr="005F6C3F" w:rsidRDefault="006D093F" w:rsidP="000346B3">
            <w:pPr>
              <w:adjustRightInd w:val="0"/>
              <w:snapToGrid w:val="0"/>
              <w:spacing w:after="0" w:line="240" w:lineRule="auto"/>
              <w:jc w:val="right"/>
              <w:rPr>
                <w:rFonts w:ascii="Times New Roman" w:hAnsi="Times New Roman" w:cs="Times New Roman"/>
                <w:color w:val="000000"/>
                <w:sz w:val="16"/>
                <w:szCs w:val="16"/>
              </w:rPr>
            </w:pPr>
            <w:r w:rsidRPr="005F6C3F">
              <w:rPr>
                <w:rFonts w:ascii="Times New Roman" w:hAnsi="Times New Roman" w:cs="Times New Roman"/>
                <w:color w:val="000000"/>
                <w:sz w:val="16"/>
                <w:szCs w:val="16"/>
              </w:rPr>
              <w:t>-,022</w:t>
            </w:r>
          </w:p>
        </w:tc>
        <w:tc>
          <w:tcPr>
            <w:tcW w:w="972" w:type="dxa"/>
            <w:tcBorders>
              <w:top w:val="nil"/>
              <w:bottom w:val="nil"/>
            </w:tcBorders>
            <w:shd w:val="clear" w:color="auto" w:fill="FFFFFF"/>
            <w:vAlign w:val="center"/>
          </w:tcPr>
          <w:p w:rsidR="006D093F" w:rsidRPr="005F6C3F" w:rsidRDefault="006D093F" w:rsidP="000346B3">
            <w:pPr>
              <w:adjustRightInd w:val="0"/>
              <w:snapToGrid w:val="0"/>
              <w:spacing w:after="0" w:line="240" w:lineRule="auto"/>
              <w:jc w:val="right"/>
              <w:rPr>
                <w:rFonts w:ascii="Times New Roman" w:hAnsi="Times New Roman" w:cs="Times New Roman"/>
                <w:color w:val="000000"/>
                <w:sz w:val="16"/>
                <w:szCs w:val="16"/>
              </w:rPr>
            </w:pPr>
            <w:r w:rsidRPr="005F6C3F">
              <w:rPr>
                <w:rFonts w:ascii="Times New Roman" w:hAnsi="Times New Roman" w:cs="Times New Roman"/>
                <w:color w:val="000000"/>
                <w:sz w:val="16"/>
                <w:szCs w:val="16"/>
              </w:rPr>
              <w:t>,113</w:t>
            </w:r>
          </w:p>
        </w:tc>
        <w:tc>
          <w:tcPr>
            <w:tcW w:w="811" w:type="dxa"/>
            <w:tcBorders>
              <w:top w:val="nil"/>
              <w:bottom w:val="nil"/>
            </w:tcBorders>
            <w:shd w:val="clear" w:color="auto" w:fill="FFFFFF"/>
            <w:vAlign w:val="center"/>
          </w:tcPr>
          <w:p w:rsidR="006D093F" w:rsidRPr="005F6C3F" w:rsidRDefault="006D093F" w:rsidP="000346B3">
            <w:pPr>
              <w:adjustRightInd w:val="0"/>
              <w:snapToGrid w:val="0"/>
              <w:spacing w:after="0" w:line="240" w:lineRule="auto"/>
              <w:jc w:val="right"/>
              <w:rPr>
                <w:rFonts w:ascii="Times New Roman" w:hAnsi="Times New Roman" w:cs="Times New Roman"/>
                <w:color w:val="000000"/>
                <w:sz w:val="16"/>
                <w:szCs w:val="16"/>
              </w:rPr>
            </w:pPr>
            <w:r w:rsidRPr="005F6C3F">
              <w:rPr>
                <w:rFonts w:ascii="Times New Roman" w:hAnsi="Times New Roman" w:cs="Times New Roman"/>
                <w:color w:val="000000"/>
                <w:sz w:val="16"/>
                <w:szCs w:val="16"/>
              </w:rPr>
              <w:t>1,000</w:t>
            </w:r>
          </w:p>
        </w:tc>
        <w:tc>
          <w:tcPr>
            <w:tcW w:w="648" w:type="dxa"/>
            <w:tcBorders>
              <w:top w:val="nil"/>
              <w:bottom w:val="nil"/>
              <w:right w:val="single" w:sz="16" w:space="0" w:color="000000"/>
            </w:tcBorders>
            <w:shd w:val="clear" w:color="auto" w:fill="FFFFFF"/>
            <w:vAlign w:val="center"/>
          </w:tcPr>
          <w:p w:rsidR="006D093F" w:rsidRPr="005F6C3F" w:rsidRDefault="006D093F" w:rsidP="000346B3">
            <w:pPr>
              <w:adjustRightInd w:val="0"/>
              <w:snapToGrid w:val="0"/>
              <w:spacing w:after="0" w:line="240" w:lineRule="auto"/>
              <w:jc w:val="right"/>
              <w:rPr>
                <w:rFonts w:ascii="Times New Roman" w:hAnsi="Times New Roman" w:cs="Times New Roman"/>
                <w:color w:val="000000"/>
                <w:sz w:val="16"/>
                <w:szCs w:val="16"/>
              </w:rPr>
            </w:pPr>
            <w:r w:rsidRPr="005F6C3F">
              <w:rPr>
                <w:rFonts w:ascii="Times New Roman" w:hAnsi="Times New Roman" w:cs="Times New Roman"/>
                <w:color w:val="000000"/>
                <w:sz w:val="16"/>
                <w:szCs w:val="16"/>
              </w:rPr>
              <w:t>1,000</w:t>
            </w:r>
          </w:p>
        </w:tc>
      </w:tr>
      <w:tr w:rsidR="006D093F" w:rsidRPr="005F6C3F" w:rsidTr="000346B3">
        <w:trPr>
          <w:cantSplit/>
          <w:trHeight w:val="149"/>
        </w:trPr>
        <w:tc>
          <w:tcPr>
            <w:tcW w:w="936" w:type="dxa"/>
            <w:vMerge/>
            <w:tcBorders>
              <w:top w:val="single" w:sz="16" w:space="0" w:color="000000"/>
              <w:left w:val="single" w:sz="16" w:space="0" w:color="000000"/>
              <w:bottom w:val="single" w:sz="16" w:space="0" w:color="000000"/>
              <w:right w:val="nil"/>
            </w:tcBorders>
            <w:shd w:val="clear" w:color="auto" w:fill="FFFFFF"/>
            <w:vAlign w:val="center"/>
          </w:tcPr>
          <w:p w:rsidR="006D093F" w:rsidRPr="005F6C3F" w:rsidRDefault="006D093F" w:rsidP="000346B3">
            <w:pPr>
              <w:adjustRightInd w:val="0"/>
              <w:snapToGrid w:val="0"/>
              <w:spacing w:after="0" w:line="240" w:lineRule="auto"/>
              <w:rPr>
                <w:rFonts w:ascii="Times New Roman" w:hAnsi="Times New Roman" w:cs="Times New Roman"/>
                <w:color w:val="000000"/>
                <w:sz w:val="16"/>
                <w:szCs w:val="16"/>
              </w:rPr>
            </w:pPr>
          </w:p>
        </w:tc>
        <w:tc>
          <w:tcPr>
            <w:tcW w:w="2146" w:type="dxa"/>
            <w:tcBorders>
              <w:top w:val="nil"/>
              <w:left w:val="nil"/>
              <w:bottom w:val="single" w:sz="16" w:space="0" w:color="000000"/>
              <w:right w:val="single" w:sz="16" w:space="0" w:color="000000"/>
            </w:tcBorders>
            <w:shd w:val="clear" w:color="auto" w:fill="FFFFFF"/>
            <w:vAlign w:val="center"/>
          </w:tcPr>
          <w:p w:rsidR="006D093F" w:rsidRPr="005F6C3F" w:rsidRDefault="006D093F" w:rsidP="007969CB">
            <w:pPr>
              <w:adjustRightInd w:val="0"/>
              <w:snapToGrid w:val="0"/>
              <w:spacing w:after="0" w:line="240" w:lineRule="auto"/>
              <w:rPr>
                <w:rFonts w:ascii="Times New Roman" w:hAnsi="Times New Roman" w:cs="Times New Roman"/>
                <w:color w:val="000000"/>
                <w:sz w:val="16"/>
                <w:szCs w:val="16"/>
              </w:rPr>
            </w:pPr>
            <w:r w:rsidRPr="005F6C3F">
              <w:rPr>
                <w:rFonts w:ascii="Times New Roman" w:hAnsi="Times New Roman" w:cs="Times New Roman"/>
                <w:color w:val="000000"/>
                <w:sz w:val="16"/>
                <w:szCs w:val="16"/>
              </w:rPr>
              <w:t>PCA6_</w:t>
            </w:r>
            <w:r w:rsidR="007969CB">
              <w:rPr>
                <w:rFonts w:ascii="Times New Roman" w:hAnsi="Times New Roman" w:cs="Times New Roman"/>
                <w:color w:val="000000"/>
                <w:sz w:val="16"/>
                <w:szCs w:val="16"/>
              </w:rPr>
              <w:t>Măsuri t</w:t>
            </w:r>
            <w:r w:rsidRPr="005F6C3F">
              <w:rPr>
                <w:rFonts w:ascii="Times New Roman" w:hAnsi="Times New Roman" w:cs="Times New Roman"/>
                <w:color w:val="000000"/>
                <w:sz w:val="16"/>
                <w:szCs w:val="16"/>
              </w:rPr>
              <w:t>raditional</w:t>
            </w:r>
            <w:r w:rsidR="007969CB">
              <w:rPr>
                <w:rFonts w:ascii="Times New Roman" w:hAnsi="Times New Roman" w:cs="Times New Roman"/>
                <w:color w:val="000000"/>
                <w:sz w:val="16"/>
                <w:szCs w:val="16"/>
              </w:rPr>
              <w:t>e</w:t>
            </w:r>
          </w:p>
        </w:tc>
        <w:tc>
          <w:tcPr>
            <w:tcW w:w="810" w:type="dxa"/>
            <w:tcBorders>
              <w:top w:val="nil"/>
              <w:left w:val="single" w:sz="16" w:space="0" w:color="000000"/>
              <w:bottom w:val="single" w:sz="16" w:space="0" w:color="000000"/>
            </w:tcBorders>
            <w:shd w:val="clear" w:color="auto" w:fill="FFFFFF"/>
            <w:vAlign w:val="center"/>
          </w:tcPr>
          <w:p w:rsidR="006D093F" w:rsidRPr="005F6C3F" w:rsidRDefault="006D093F" w:rsidP="000346B3">
            <w:pPr>
              <w:adjustRightInd w:val="0"/>
              <w:snapToGrid w:val="0"/>
              <w:spacing w:after="0" w:line="240" w:lineRule="auto"/>
              <w:jc w:val="right"/>
              <w:rPr>
                <w:rFonts w:ascii="Times New Roman" w:hAnsi="Times New Roman" w:cs="Times New Roman"/>
                <w:color w:val="000000"/>
                <w:sz w:val="16"/>
                <w:szCs w:val="16"/>
              </w:rPr>
            </w:pPr>
            <w:r w:rsidRPr="005F6C3F">
              <w:rPr>
                <w:rFonts w:ascii="Times New Roman" w:hAnsi="Times New Roman" w:cs="Times New Roman"/>
                <w:color w:val="000000"/>
                <w:sz w:val="16"/>
                <w:szCs w:val="16"/>
              </w:rPr>
              <w:t>,166</w:t>
            </w:r>
          </w:p>
        </w:tc>
        <w:tc>
          <w:tcPr>
            <w:tcW w:w="811" w:type="dxa"/>
            <w:tcBorders>
              <w:top w:val="nil"/>
              <w:bottom w:val="single" w:sz="16" w:space="0" w:color="000000"/>
            </w:tcBorders>
            <w:shd w:val="clear" w:color="auto" w:fill="FFFFFF"/>
            <w:vAlign w:val="center"/>
          </w:tcPr>
          <w:p w:rsidR="006D093F" w:rsidRPr="005F6C3F" w:rsidRDefault="006D093F" w:rsidP="000346B3">
            <w:pPr>
              <w:adjustRightInd w:val="0"/>
              <w:snapToGrid w:val="0"/>
              <w:spacing w:after="0" w:line="240" w:lineRule="auto"/>
              <w:jc w:val="right"/>
              <w:rPr>
                <w:rFonts w:ascii="Times New Roman" w:hAnsi="Times New Roman" w:cs="Times New Roman"/>
                <w:color w:val="000000"/>
                <w:sz w:val="16"/>
                <w:szCs w:val="16"/>
              </w:rPr>
            </w:pPr>
            <w:r w:rsidRPr="005F6C3F">
              <w:rPr>
                <w:rFonts w:ascii="Times New Roman" w:hAnsi="Times New Roman" w:cs="Times New Roman"/>
                <w:color w:val="000000"/>
                <w:sz w:val="16"/>
                <w:szCs w:val="16"/>
              </w:rPr>
              <w:t>,034</w:t>
            </w:r>
          </w:p>
        </w:tc>
        <w:tc>
          <w:tcPr>
            <w:tcW w:w="1135" w:type="dxa"/>
            <w:tcBorders>
              <w:top w:val="nil"/>
              <w:bottom w:val="single" w:sz="16" w:space="0" w:color="000000"/>
            </w:tcBorders>
            <w:shd w:val="clear" w:color="auto" w:fill="FFFFFF"/>
            <w:vAlign w:val="center"/>
          </w:tcPr>
          <w:p w:rsidR="006D093F" w:rsidRPr="005F6C3F" w:rsidRDefault="006D093F" w:rsidP="000346B3">
            <w:pPr>
              <w:adjustRightInd w:val="0"/>
              <w:snapToGrid w:val="0"/>
              <w:spacing w:after="0" w:line="240" w:lineRule="auto"/>
              <w:jc w:val="right"/>
              <w:rPr>
                <w:rFonts w:ascii="Times New Roman" w:hAnsi="Times New Roman" w:cs="Times New Roman"/>
                <w:color w:val="000000"/>
                <w:sz w:val="16"/>
                <w:szCs w:val="16"/>
              </w:rPr>
            </w:pPr>
            <w:r w:rsidRPr="005F6C3F">
              <w:rPr>
                <w:rFonts w:ascii="Times New Roman" w:hAnsi="Times New Roman" w:cs="Times New Roman"/>
                <w:color w:val="000000"/>
                <w:sz w:val="16"/>
                <w:szCs w:val="16"/>
              </w:rPr>
              <w:t>,203</w:t>
            </w:r>
          </w:p>
        </w:tc>
        <w:tc>
          <w:tcPr>
            <w:tcW w:w="648" w:type="dxa"/>
            <w:tcBorders>
              <w:top w:val="nil"/>
              <w:bottom w:val="single" w:sz="16" w:space="0" w:color="000000"/>
            </w:tcBorders>
            <w:shd w:val="clear" w:color="auto" w:fill="FFFFFF"/>
            <w:vAlign w:val="center"/>
          </w:tcPr>
          <w:p w:rsidR="006D093F" w:rsidRPr="005F6C3F" w:rsidRDefault="006D093F" w:rsidP="000346B3">
            <w:pPr>
              <w:adjustRightInd w:val="0"/>
              <w:snapToGrid w:val="0"/>
              <w:spacing w:after="0" w:line="240" w:lineRule="auto"/>
              <w:jc w:val="right"/>
              <w:rPr>
                <w:rFonts w:ascii="Times New Roman" w:hAnsi="Times New Roman" w:cs="Times New Roman"/>
                <w:color w:val="000000"/>
                <w:sz w:val="16"/>
                <w:szCs w:val="16"/>
              </w:rPr>
            </w:pPr>
            <w:r w:rsidRPr="005F6C3F">
              <w:rPr>
                <w:rFonts w:ascii="Times New Roman" w:hAnsi="Times New Roman" w:cs="Times New Roman"/>
                <w:color w:val="000000"/>
                <w:sz w:val="16"/>
                <w:szCs w:val="16"/>
              </w:rPr>
              <w:t>4,829</w:t>
            </w:r>
          </w:p>
        </w:tc>
        <w:tc>
          <w:tcPr>
            <w:tcW w:w="648" w:type="dxa"/>
            <w:tcBorders>
              <w:top w:val="nil"/>
              <w:bottom w:val="single" w:sz="16" w:space="0" w:color="000000"/>
            </w:tcBorders>
            <w:shd w:val="clear" w:color="auto" w:fill="FFFFFF"/>
            <w:vAlign w:val="center"/>
          </w:tcPr>
          <w:p w:rsidR="006D093F" w:rsidRPr="005F6C3F" w:rsidRDefault="006D093F" w:rsidP="000346B3">
            <w:pPr>
              <w:adjustRightInd w:val="0"/>
              <w:snapToGrid w:val="0"/>
              <w:spacing w:after="0" w:line="240" w:lineRule="auto"/>
              <w:jc w:val="right"/>
              <w:rPr>
                <w:rFonts w:ascii="Times New Roman" w:hAnsi="Times New Roman" w:cs="Times New Roman"/>
                <w:color w:val="000000"/>
                <w:sz w:val="16"/>
                <w:szCs w:val="16"/>
              </w:rPr>
            </w:pPr>
            <w:r w:rsidRPr="005F6C3F">
              <w:rPr>
                <w:rFonts w:ascii="Times New Roman" w:hAnsi="Times New Roman" w:cs="Times New Roman"/>
                <w:color w:val="000000"/>
                <w:sz w:val="16"/>
                <w:szCs w:val="16"/>
              </w:rPr>
              <w:t>,000</w:t>
            </w:r>
          </w:p>
        </w:tc>
        <w:tc>
          <w:tcPr>
            <w:tcW w:w="973" w:type="dxa"/>
            <w:tcBorders>
              <w:top w:val="nil"/>
              <w:bottom w:val="single" w:sz="16" w:space="0" w:color="000000"/>
            </w:tcBorders>
            <w:shd w:val="clear" w:color="auto" w:fill="FFFFFF"/>
            <w:vAlign w:val="center"/>
          </w:tcPr>
          <w:p w:rsidR="006D093F" w:rsidRPr="005F6C3F" w:rsidRDefault="006D093F" w:rsidP="000346B3">
            <w:pPr>
              <w:adjustRightInd w:val="0"/>
              <w:snapToGrid w:val="0"/>
              <w:spacing w:after="0" w:line="240" w:lineRule="auto"/>
              <w:jc w:val="right"/>
              <w:rPr>
                <w:rFonts w:ascii="Times New Roman" w:hAnsi="Times New Roman" w:cs="Times New Roman"/>
                <w:color w:val="000000"/>
                <w:sz w:val="16"/>
                <w:szCs w:val="16"/>
              </w:rPr>
            </w:pPr>
            <w:r w:rsidRPr="005F6C3F">
              <w:rPr>
                <w:rFonts w:ascii="Times New Roman" w:hAnsi="Times New Roman" w:cs="Times New Roman"/>
                <w:color w:val="000000"/>
                <w:sz w:val="16"/>
                <w:szCs w:val="16"/>
              </w:rPr>
              <w:t>,099</w:t>
            </w:r>
          </w:p>
        </w:tc>
        <w:tc>
          <w:tcPr>
            <w:tcW w:w="972" w:type="dxa"/>
            <w:tcBorders>
              <w:top w:val="nil"/>
              <w:bottom w:val="single" w:sz="16" w:space="0" w:color="000000"/>
            </w:tcBorders>
            <w:shd w:val="clear" w:color="auto" w:fill="FFFFFF"/>
            <w:vAlign w:val="center"/>
          </w:tcPr>
          <w:p w:rsidR="006D093F" w:rsidRPr="005F6C3F" w:rsidRDefault="006D093F" w:rsidP="000346B3">
            <w:pPr>
              <w:adjustRightInd w:val="0"/>
              <w:snapToGrid w:val="0"/>
              <w:spacing w:after="0" w:line="240" w:lineRule="auto"/>
              <w:jc w:val="right"/>
              <w:rPr>
                <w:rFonts w:ascii="Times New Roman" w:hAnsi="Times New Roman" w:cs="Times New Roman"/>
                <w:color w:val="000000"/>
                <w:sz w:val="16"/>
                <w:szCs w:val="16"/>
              </w:rPr>
            </w:pPr>
            <w:r w:rsidRPr="005F6C3F">
              <w:rPr>
                <w:rFonts w:ascii="Times New Roman" w:hAnsi="Times New Roman" w:cs="Times New Roman"/>
                <w:color w:val="000000"/>
                <w:sz w:val="16"/>
                <w:szCs w:val="16"/>
              </w:rPr>
              <w:t>,234</w:t>
            </w:r>
          </w:p>
        </w:tc>
        <w:tc>
          <w:tcPr>
            <w:tcW w:w="811" w:type="dxa"/>
            <w:tcBorders>
              <w:top w:val="nil"/>
              <w:bottom w:val="single" w:sz="16" w:space="0" w:color="000000"/>
            </w:tcBorders>
            <w:shd w:val="clear" w:color="auto" w:fill="FFFFFF"/>
            <w:vAlign w:val="center"/>
          </w:tcPr>
          <w:p w:rsidR="006D093F" w:rsidRPr="005F6C3F" w:rsidRDefault="006D093F" w:rsidP="000346B3">
            <w:pPr>
              <w:adjustRightInd w:val="0"/>
              <w:snapToGrid w:val="0"/>
              <w:spacing w:after="0" w:line="240" w:lineRule="auto"/>
              <w:jc w:val="right"/>
              <w:rPr>
                <w:rFonts w:ascii="Times New Roman" w:hAnsi="Times New Roman" w:cs="Times New Roman"/>
                <w:color w:val="000000"/>
                <w:sz w:val="16"/>
                <w:szCs w:val="16"/>
              </w:rPr>
            </w:pPr>
            <w:r w:rsidRPr="005F6C3F">
              <w:rPr>
                <w:rFonts w:ascii="Times New Roman" w:hAnsi="Times New Roman" w:cs="Times New Roman"/>
                <w:color w:val="000000"/>
                <w:sz w:val="16"/>
                <w:szCs w:val="16"/>
              </w:rPr>
              <w:t>1,000</w:t>
            </w:r>
          </w:p>
        </w:tc>
        <w:tc>
          <w:tcPr>
            <w:tcW w:w="648" w:type="dxa"/>
            <w:tcBorders>
              <w:top w:val="nil"/>
              <w:bottom w:val="single" w:sz="16" w:space="0" w:color="000000"/>
              <w:right w:val="single" w:sz="16" w:space="0" w:color="000000"/>
            </w:tcBorders>
            <w:shd w:val="clear" w:color="auto" w:fill="FFFFFF"/>
            <w:vAlign w:val="center"/>
          </w:tcPr>
          <w:p w:rsidR="006D093F" w:rsidRPr="005F6C3F" w:rsidRDefault="006D093F" w:rsidP="000346B3">
            <w:pPr>
              <w:adjustRightInd w:val="0"/>
              <w:snapToGrid w:val="0"/>
              <w:spacing w:after="0" w:line="240" w:lineRule="auto"/>
              <w:jc w:val="right"/>
              <w:rPr>
                <w:rFonts w:ascii="Times New Roman" w:hAnsi="Times New Roman" w:cs="Times New Roman"/>
                <w:color w:val="000000"/>
                <w:sz w:val="16"/>
                <w:szCs w:val="16"/>
              </w:rPr>
            </w:pPr>
            <w:r w:rsidRPr="005F6C3F">
              <w:rPr>
                <w:rFonts w:ascii="Times New Roman" w:hAnsi="Times New Roman" w:cs="Times New Roman"/>
                <w:color w:val="000000"/>
                <w:sz w:val="16"/>
                <w:szCs w:val="16"/>
              </w:rPr>
              <w:t>1,000</w:t>
            </w:r>
          </w:p>
        </w:tc>
      </w:tr>
      <w:tr w:rsidR="006D093F" w:rsidRPr="005F6C3F" w:rsidTr="000346B3">
        <w:trPr>
          <w:cantSplit/>
          <w:trHeight w:val="381"/>
        </w:trPr>
        <w:tc>
          <w:tcPr>
            <w:tcW w:w="10544" w:type="dxa"/>
            <w:gridSpan w:val="11"/>
            <w:tcBorders>
              <w:top w:val="nil"/>
              <w:left w:val="nil"/>
              <w:bottom w:val="nil"/>
              <w:right w:val="nil"/>
            </w:tcBorders>
            <w:shd w:val="clear" w:color="auto" w:fill="FFFFFF"/>
          </w:tcPr>
          <w:p w:rsidR="006D093F" w:rsidRPr="005F6C3F" w:rsidRDefault="006D093F" w:rsidP="007969CB">
            <w:pPr>
              <w:adjustRightInd w:val="0"/>
              <w:snapToGrid w:val="0"/>
              <w:spacing w:after="0" w:line="240" w:lineRule="auto"/>
              <w:rPr>
                <w:rFonts w:ascii="Times New Roman" w:hAnsi="Times New Roman" w:cs="Times New Roman"/>
                <w:color w:val="000000"/>
                <w:sz w:val="16"/>
                <w:szCs w:val="16"/>
              </w:rPr>
            </w:pPr>
            <w:r w:rsidRPr="005F6C3F">
              <w:rPr>
                <w:rFonts w:ascii="Times New Roman" w:hAnsi="Times New Roman" w:cs="Times New Roman"/>
                <w:color w:val="000000"/>
                <w:sz w:val="16"/>
                <w:szCs w:val="16"/>
              </w:rPr>
              <w:t>a.</w:t>
            </w:r>
            <w:r w:rsidR="007969CB">
              <w:rPr>
                <w:rFonts w:ascii="Times New Roman" w:hAnsi="Times New Roman" w:cs="Times New Roman"/>
                <w:color w:val="000000"/>
                <w:sz w:val="16"/>
                <w:szCs w:val="16"/>
              </w:rPr>
              <w:t xml:space="preserve">Variabila </w:t>
            </w:r>
            <w:r w:rsidRPr="005F6C3F">
              <w:rPr>
                <w:rFonts w:ascii="Times New Roman" w:hAnsi="Times New Roman" w:cs="Times New Roman"/>
                <w:color w:val="000000"/>
                <w:sz w:val="16"/>
                <w:szCs w:val="16"/>
              </w:rPr>
              <w:t xml:space="preserve"> Dependent</w:t>
            </w:r>
            <w:r w:rsidR="007969CB">
              <w:rPr>
                <w:rFonts w:ascii="Times New Roman" w:hAnsi="Times New Roman" w:cs="Times New Roman"/>
                <w:color w:val="000000"/>
                <w:sz w:val="16"/>
                <w:szCs w:val="16"/>
              </w:rPr>
              <w:t>ă</w:t>
            </w:r>
            <w:r w:rsidRPr="005F6C3F">
              <w:rPr>
                <w:rFonts w:ascii="Times New Roman" w:hAnsi="Times New Roman" w:cs="Times New Roman"/>
                <w:color w:val="000000"/>
                <w:sz w:val="16"/>
                <w:szCs w:val="16"/>
              </w:rPr>
              <w:t xml:space="preserve">: </w:t>
            </w:r>
            <w:r w:rsidR="007969CB">
              <w:rPr>
                <w:rFonts w:ascii="Times New Roman" w:hAnsi="Times New Roman" w:cs="Times New Roman"/>
                <w:color w:val="000000"/>
                <w:sz w:val="16"/>
                <w:szCs w:val="16"/>
              </w:rPr>
              <w:t>A</w:t>
            </w:r>
            <w:r w:rsidR="007969CB" w:rsidRPr="005F6C3F">
              <w:rPr>
                <w:rFonts w:ascii="Times New Roman" w:hAnsi="Times New Roman" w:cs="Times New Roman"/>
                <w:color w:val="000000"/>
                <w:sz w:val="16"/>
                <w:szCs w:val="16"/>
              </w:rPr>
              <w:t>titud</w:t>
            </w:r>
            <w:r w:rsidR="007969CB">
              <w:rPr>
                <w:rFonts w:ascii="Times New Roman" w:hAnsi="Times New Roman" w:cs="Times New Roman"/>
                <w:color w:val="000000"/>
                <w:sz w:val="16"/>
                <w:szCs w:val="16"/>
              </w:rPr>
              <w:t>in</w:t>
            </w:r>
            <w:r w:rsidR="007969CB" w:rsidRPr="005F6C3F">
              <w:rPr>
                <w:rFonts w:ascii="Times New Roman" w:hAnsi="Times New Roman" w:cs="Times New Roman"/>
                <w:color w:val="000000"/>
                <w:sz w:val="16"/>
                <w:szCs w:val="16"/>
              </w:rPr>
              <w:t>e</w:t>
            </w:r>
            <w:r w:rsidR="007969CB">
              <w:rPr>
                <w:rFonts w:ascii="Times New Roman" w:hAnsi="Times New Roman" w:cs="Times New Roman"/>
                <w:color w:val="000000"/>
                <w:sz w:val="16"/>
                <w:szCs w:val="16"/>
              </w:rPr>
              <w:t>a</w:t>
            </w:r>
            <w:r w:rsidR="007969CB" w:rsidRPr="005F6C3F">
              <w:rPr>
                <w:rFonts w:ascii="Times New Roman" w:hAnsi="Times New Roman" w:cs="Times New Roman"/>
                <w:color w:val="000000"/>
                <w:sz w:val="16"/>
                <w:szCs w:val="16"/>
              </w:rPr>
              <w:t xml:space="preserve"> </w:t>
            </w:r>
            <w:r w:rsidR="007969CB">
              <w:rPr>
                <w:rFonts w:ascii="Times New Roman" w:hAnsi="Times New Roman" w:cs="Times New Roman"/>
                <w:color w:val="000000"/>
                <w:sz w:val="16"/>
                <w:szCs w:val="16"/>
              </w:rPr>
              <w:t>față de necesitatea îmbunătățirii preformanței energetice și reducerea amprentei de carbon din propria locuință</w:t>
            </w:r>
          </w:p>
        </w:tc>
      </w:tr>
    </w:tbl>
    <w:p w:rsidR="006D093F" w:rsidRPr="005F6C3F" w:rsidRDefault="006D093F" w:rsidP="006D093F">
      <w:pPr>
        <w:pStyle w:val="MDPI31text"/>
      </w:pPr>
      <w:r w:rsidRPr="005F6C3F">
        <w:t>S</w:t>
      </w:r>
      <w:r w:rsidR="007969CB">
        <w:t>ursă</w:t>
      </w:r>
      <w:r w:rsidRPr="005F6C3F">
        <w:t xml:space="preserve">: </w:t>
      </w:r>
      <w:r w:rsidR="007969CB">
        <w:t>Prelucrarea datelor de către autori</w:t>
      </w:r>
    </w:p>
    <w:p w:rsidR="006D093F" w:rsidRDefault="006D093F" w:rsidP="008244C8">
      <w:pPr>
        <w:pStyle w:val="Default"/>
        <w:spacing w:line="360" w:lineRule="auto"/>
        <w:ind w:firstLine="720"/>
      </w:pPr>
    </w:p>
    <w:p w:rsidR="006D093F" w:rsidRPr="00ED0003" w:rsidRDefault="006D3733" w:rsidP="0013579F">
      <w:pPr>
        <w:pStyle w:val="Default"/>
        <w:spacing w:line="360" w:lineRule="auto"/>
        <w:ind w:firstLine="720"/>
        <w:jc w:val="both"/>
        <w:rPr>
          <w:rFonts w:ascii="Times New Roman" w:hAnsi="Times New Roman" w:cs="Times New Roman"/>
        </w:rPr>
      </w:pPr>
      <w:r w:rsidRPr="00ED0003">
        <w:rPr>
          <w:rFonts w:ascii="Times New Roman" w:hAnsi="Times New Roman" w:cs="Times New Roman"/>
        </w:rPr>
        <w:t>Conform modelului de regresie se poate afirma că doi factori, și anume PCA4- Obstacolele împotriva îmbunătățirii eficienței energetice și PCA5- Birocrația și legislația nu sunt semnificativi dpdv.statistic (valoarea p &gt; 0</w:t>
      </w:r>
      <w:proofErr w:type="gramStart"/>
      <w:r w:rsidRPr="00ED0003">
        <w:rPr>
          <w:rFonts w:ascii="Times New Roman" w:hAnsi="Times New Roman" w:cs="Times New Roman"/>
        </w:rPr>
        <w:t>,05</w:t>
      </w:r>
      <w:proofErr w:type="gramEnd"/>
      <w:r w:rsidRPr="00ED0003">
        <w:rPr>
          <w:rFonts w:ascii="Times New Roman" w:hAnsi="Times New Roman" w:cs="Times New Roman"/>
        </w:rPr>
        <w:t>).</w:t>
      </w:r>
      <w:r w:rsidR="0013579F" w:rsidRPr="00ED0003">
        <w:rPr>
          <w:rFonts w:ascii="Times New Roman" w:hAnsi="Times New Roman" w:cs="Times New Roman"/>
        </w:rPr>
        <w:t xml:space="preserve"> Acest rezultat prezintă importanță, deoarece arată că diferitele tipuri de obstacole nu au o contribuție semnificativă la explicarea variației atitudinii respondenților față de necesitaeta îmbunătățirii eficienței energetice și decarbonizare.</w:t>
      </w:r>
      <w:r w:rsidR="006203FE" w:rsidRPr="00ED0003">
        <w:rPr>
          <w:rFonts w:ascii="Times New Roman" w:hAnsi="Times New Roman" w:cs="Times New Roman"/>
        </w:rPr>
        <w:t xml:space="preserve"> Aceste rezultate ar putea avea rădăcini în economia comportamentală: oamenii sunt obișnuiți </w:t>
      </w:r>
      <w:proofErr w:type="gramStart"/>
      <w:r w:rsidR="006203FE" w:rsidRPr="00ED0003">
        <w:rPr>
          <w:rFonts w:ascii="Times New Roman" w:hAnsi="Times New Roman" w:cs="Times New Roman"/>
        </w:rPr>
        <w:t>să</w:t>
      </w:r>
      <w:proofErr w:type="gramEnd"/>
      <w:r w:rsidR="006203FE" w:rsidRPr="00ED0003">
        <w:rPr>
          <w:rFonts w:ascii="Times New Roman" w:hAnsi="Times New Roman" w:cs="Times New Roman"/>
        </w:rPr>
        <w:t xml:space="preserve"> depășească barierele și obstacolele birocratice pentru a-și atinge obiectivul, în cazul nostru creșterea eficienței energetice și decarbonizarea.</w:t>
      </w:r>
    </w:p>
    <w:p w:rsidR="005219BB" w:rsidRPr="00ED0003" w:rsidRDefault="005219BB" w:rsidP="0013579F">
      <w:pPr>
        <w:pStyle w:val="Default"/>
        <w:spacing w:line="360" w:lineRule="auto"/>
        <w:ind w:firstLine="720"/>
        <w:jc w:val="both"/>
        <w:rPr>
          <w:rFonts w:ascii="Times New Roman" w:hAnsi="Times New Roman" w:cs="Times New Roman"/>
        </w:rPr>
      </w:pPr>
      <w:r w:rsidRPr="00ED0003">
        <w:rPr>
          <w:rFonts w:ascii="Times New Roman" w:hAnsi="Times New Roman" w:cs="Times New Roman"/>
        </w:rPr>
        <w:lastRenderedPageBreak/>
        <w:t>Dacă analizăm modelul de regresie, se poate observa că factorii selectați pot explica 32% din variația atitudinii. Restul de aproape 68% se explică prin alte variabile, care nu sunt incluse în model.</w:t>
      </w:r>
      <w:r w:rsidR="00ED0003" w:rsidRPr="00ED0003">
        <w:rPr>
          <w:rFonts w:ascii="Times New Roman" w:hAnsi="Times New Roman" w:cs="Times New Roman"/>
        </w:rPr>
        <w:t xml:space="preserve"> Acesti factori vor putea fi identificați și analizați în cercetări ulterioare</w:t>
      </w:r>
    </w:p>
    <w:p w:rsidR="00ED0003" w:rsidRPr="00ED0003" w:rsidRDefault="00ED0003" w:rsidP="0013579F">
      <w:pPr>
        <w:pStyle w:val="Default"/>
        <w:spacing w:line="360" w:lineRule="auto"/>
        <w:ind w:firstLine="720"/>
        <w:jc w:val="both"/>
        <w:rPr>
          <w:rFonts w:ascii="Times New Roman" w:hAnsi="Times New Roman" w:cs="Times New Roman"/>
        </w:rPr>
      </w:pPr>
    </w:p>
    <w:p w:rsidR="00ED0003" w:rsidRPr="00095AF5" w:rsidRDefault="00ED0003" w:rsidP="00095AF5">
      <w:pPr>
        <w:pStyle w:val="Default"/>
        <w:numPr>
          <w:ilvl w:val="0"/>
          <w:numId w:val="1"/>
        </w:numPr>
        <w:spacing w:line="360" w:lineRule="auto"/>
        <w:jc w:val="both"/>
        <w:rPr>
          <w:rFonts w:ascii="Times New Roman" w:hAnsi="Times New Roman" w:cs="Times New Roman"/>
          <w:b/>
        </w:rPr>
      </w:pPr>
      <w:r w:rsidRPr="00095AF5">
        <w:rPr>
          <w:rFonts w:ascii="Times New Roman" w:hAnsi="Times New Roman" w:cs="Times New Roman"/>
          <w:b/>
        </w:rPr>
        <w:t>Concluzie</w:t>
      </w:r>
    </w:p>
    <w:p w:rsidR="006D3733" w:rsidRPr="00095AF5" w:rsidRDefault="00ED0003" w:rsidP="00095AF5">
      <w:pPr>
        <w:pStyle w:val="Default"/>
        <w:spacing w:line="360" w:lineRule="auto"/>
        <w:ind w:firstLine="720"/>
        <w:jc w:val="both"/>
        <w:rPr>
          <w:rFonts w:ascii="Times New Roman" w:hAnsi="Times New Roman" w:cs="Times New Roman"/>
        </w:rPr>
      </w:pPr>
      <w:r w:rsidRPr="00095AF5">
        <w:rPr>
          <w:rFonts w:ascii="Times New Roman" w:hAnsi="Times New Roman" w:cs="Times New Roman"/>
        </w:rPr>
        <w:t xml:space="preserve">Factorii cu cea mai mare influență asupra atitudinii în ceea </w:t>
      </w:r>
      <w:proofErr w:type="gramStart"/>
      <w:r w:rsidRPr="00095AF5">
        <w:rPr>
          <w:rFonts w:ascii="Times New Roman" w:hAnsi="Times New Roman" w:cs="Times New Roman"/>
        </w:rPr>
        <w:t>ce</w:t>
      </w:r>
      <w:proofErr w:type="gramEnd"/>
      <w:r w:rsidRPr="00095AF5">
        <w:rPr>
          <w:rFonts w:ascii="Times New Roman" w:hAnsi="Times New Roman" w:cs="Times New Roman"/>
        </w:rPr>
        <w:t xml:space="preserve"> privește creșterea eficienței energetice și decarbonizarea se regăsesc în grupul denumit „Motive pentru îmbunătățirea eficienței energetice”.</w:t>
      </w:r>
      <w:r w:rsidR="00095AF5" w:rsidRPr="00095AF5">
        <w:rPr>
          <w:rFonts w:ascii="Times New Roman" w:hAnsi="Times New Roman" w:cs="Times New Roman"/>
        </w:rPr>
        <w:t xml:space="preserve"> Acest grup de factori include: oportunități pentru educarea și formarea cetățenilor cu privire la managementul energiei și alte probleme legate de energie; reglementări fiscale, inclusiv de exemplu deduceri fiscale, stimulente, granturi, pentru a stimula reducerea consumului de energie și/sau a emisiilor de carbon; elaborarea de planuri și strategii, la nivelul asociației de proprietari sau la nivel de administrație locală/regională, pentru gestionarea consumului de energie pe termen mediu și lung; acces la diverse surse de finanțare (fonduri europene, administrație publică locală, buget de stat, fonduri de investiții private etc.) pentru implementarea pompelor de căldură, sistemelor de stocare a energiei termice, sistemelor de control inteligent; disponibilitatea proprietarilor de case pentru înființarea sau asocierea voluntară într-o comunitate energetică a cetățenilor.</w:t>
      </w:r>
    </w:p>
    <w:p w:rsidR="00ED0003" w:rsidRPr="006D206F" w:rsidRDefault="006D206F" w:rsidP="006D206F">
      <w:pPr>
        <w:pStyle w:val="Default"/>
        <w:spacing w:line="360" w:lineRule="auto"/>
        <w:ind w:firstLine="720"/>
        <w:jc w:val="both"/>
        <w:rPr>
          <w:rFonts w:ascii="Times New Roman" w:hAnsi="Times New Roman" w:cs="Times New Roman"/>
        </w:rPr>
      </w:pPr>
      <w:r w:rsidRPr="006D206F">
        <w:rPr>
          <w:rFonts w:ascii="Times New Roman" w:hAnsi="Times New Roman" w:cs="Times New Roman"/>
        </w:rPr>
        <w:t xml:space="preserve">Având în vedere că factorii de decizie sunt foarte importanți și pot determina nu doar o atitudine pozitivă față de </w:t>
      </w:r>
      <w:r>
        <w:rPr>
          <w:rFonts w:ascii="Times New Roman" w:hAnsi="Times New Roman" w:cs="Times New Roman"/>
        </w:rPr>
        <w:t xml:space="preserve">creșterea </w:t>
      </w:r>
      <w:r w:rsidRPr="006D206F">
        <w:rPr>
          <w:rFonts w:ascii="Times New Roman" w:hAnsi="Times New Roman" w:cs="Times New Roman"/>
        </w:rPr>
        <w:t>eficienț</w:t>
      </w:r>
      <w:r>
        <w:rPr>
          <w:rFonts w:ascii="Times New Roman" w:hAnsi="Times New Roman" w:cs="Times New Roman"/>
        </w:rPr>
        <w:t>ei</w:t>
      </w:r>
      <w:r w:rsidRPr="006D206F">
        <w:rPr>
          <w:rFonts w:ascii="Times New Roman" w:hAnsi="Times New Roman" w:cs="Times New Roman"/>
        </w:rPr>
        <w:t xml:space="preserve"> energetic</w:t>
      </w:r>
      <w:r>
        <w:rPr>
          <w:rFonts w:ascii="Times New Roman" w:hAnsi="Times New Roman" w:cs="Times New Roman"/>
        </w:rPr>
        <w:t>e</w:t>
      </w:r>
      <w:r w:rsidRPr="006D206F">
        <w:rPr>
          <w:rFonts w:ascii="Times New Roman" w:hAnsi="Times New Roman" w:cs="Times New Roman"/>
        </w:rPr>
        <w:t xml:space="preserve"> și decarbonizare, ci și acțiunile concrete ale </w:t>
      </w:r>
      <w:r>
        <w:rPr>
          <w:rFonts w:ascii="Times New Roman" w:hAnsi="Times New Roman" w:cs="Times New Roman"/>
        </w:rPr>
        <w:t>consumatorilor</w:t>
      </w:r>
      <w:r w:rsidRPr="006D206F">
        <w:rPr>
          <w:rFonts w:ascii="Times New Roman" w:hAnsi="Times New Roman" w:cs="Times New Roman"/>
        </w:rPr>
        <w:t xml:space="preserve">, </w:t>
      </w:r>
      <w:proofErr w:type="gramStart"/>
      <w:r w:rsidRPr="006D206F">
        <w:rPr>
          <w:rFonts w:ascii="Times New Roman" w:hAnsi="Times New Roman" w:cs="Times New Roman"/>
        </w:rPr>
        <w:t>este</w:t>
      </w:r>
      <w:proofErr w:type="gramEnd"/>
      <w:r w:rsidRPr="006D206F">
        <w:rPr>
          <w:rFonts w:ascii="Times New Roman" w:hAnsi="Times New Roman" w:cs="Times New Roman"/>
        </w:rPr>
        <w:t xml:space="preserve"> foarte important să se țină seama de aceștia atunci când se elaborează politici și strategii </w:t>
      </w:r>
      <w:r>
        <w:rPr>
          <w:rFonts w:ascii="Times New Roman" w:hAnsi="Times New Roman" w:cs="Times New Roman"/>
        </w:rPr>
        <w:t>energetice</w:t>
      </w:r>
      <w:r w:rsidRPr="006D206F">
        <w:rPr>
          <w:rFonts w:ascii="Times New Roman" w:hAnsi="Times New Roman" w:cs="Times New Roman"/>
        </w:rPr>
        <w:t>.</w:t>
      </w:r>
    </w:p>
    <w:p w:rsidR="006D206F" w:rsidRDefault="006D206F" w:rsidP="008244C8">
      <w:pPr>
        <w:pStyle w:val="Default"/>
        <w:spacing w:line="360" w:lineRule="auto"/>
        <w:ind w:firstLine="720"/>
      </w:pPr>
    </w:p>
    <w:p w:rsidR="001334D4" w:rsidRPr="001334D4" w:rsidRDefault="001334D4" w:rsidP="001D2F7C">
      <w:pPr>
        <w:pStyle w:val="Default"/>
        <w:numPr>
          <w:ilvl w:val="0"/>
          <w:numId w:val="1"/>
        </w:numPr>
        <w:spacing w:line="360" w:lineRule="auto"/>
        <w:rPr>
          <w:b/>
        </w:rPr>
      </w:pPr>
      <w:r w:rsidRPr="001334D4">
        <w:rPr>
          <w:b/>
        </w:rPr>
        <w:t>Bibliografie</w:t>
      </w:r>
    </w:p>
    <w:p w:rsidR="001334D4" w:rsidRPr="005F6C3F" w:rsidRDefault="001334D4" w:rsidP="001334D4">
      <w:pPr>
        <w:pStyle w:val="ListParagraph"/>
        <w:adjustRightInd w:val="0"/>
        <w:snapToGrid w:val="0"/>
        <w:spacing w:after="0" w:line="240" w:lineRule="auto"/>
        <w:jc w:val="both"/>
        <w:rPr>
          <w:rFonts w:ascii="Times New Roman" w:hAnsi="Times New Roman" w:cs="Times New Roman"/>
          <w:b/>
        </w:rPr>
      </w:pPr>
    </w:p>
    <w:p w:rsidR="001334D4" w:rsidRPr="005F6C3F" w:rsidRDefault="001334D4" w:rsidP="001334D4">
      <w:pPr>
        <w:pStyle w:val="MDPI37itemize"/>
        <w:spacing w:before="60"/>
      </w:pPr>
      <w:r w:rsidRPr="005F6C3F">
        <w:t xml:space="preserve">Amoruso, G., Donevska, N.; Skomedal, G. German and Norwegian policy approach to residential buildings’ energy efficiency—a comparative assessment. </w:t>
      </w:r>
      <w:r w:rsidRPr="005F6C3F">
        <w:rPr>
          <w:i/>
        </w:rPr>
        <w:t>Energy Efficiency</w:t>
      </w:r>
      <w:r w:rsidRPr="005F6C3F">
        <w:t xml:space="preserve"> </w:t>
      </w:r>
      <w:r w:rsidRPr="005F6C3F">
        <w:rPr>
          <w:b/>
        </w:rPr>
        <w:t>2018</w:t>
      </w:r>
      <w:r w:rsidRPr="005F6C3F">
        <w:t xml:space="preserve">, </w:t>
      </w:r>
      <w:r w:rsidRPr="005F6C3F">
        <w:rPr>
          <w:i/>
        </w:rPr>
        <w:t>11</w:t>
      </w:r>
      <w:r w:rsidRPr="005F6C3F">
        <w:t xml:space="preserve">, 1375–1395. </w:t>
      </w:r>
    </w:p>
    <w:p w:rsidR="001334D4" w:rsidRPr="005F6C3F" w:rsidRDefault="001334D4" w:rsidP="001334D4">
      <w:pPr>
        <w:pStyle w:val="MDPI37itemize"/>
      </w:pPr>
      <w:r w:rsidRPr="005F6C3F">
        <w:t xml:space="preserve">Aszodi, A.; Biro, B.; Adorjan, L.; Dobos, A.; Illes, G.; Toth, N.; Zagyi, D., Zsiboras, Z. Comparative analysis of national energy strategies of 19 European countries in light of the green deal’s objectives. </w:t>
      </w:r>
      <w:r w:rsidRPr="005F6C3F">
        <w:rPr>
          <w:i/>
        </w:rPr>
        <w:t>Energy Convers. Manag.</w:t>
      </w:r>
      <w:r w:rsidRPr="005F6C3F">
        <w:t xml:space="preserve"> </w:t>
      </w:r>
      <w:r w:rsidRPr="005F6C3F">
        <w:rPr>
          <w:b/>
          <w:bCs/>
        </w:rPr>
        <w:t>2021</w:t>
      </w:r>
      <w:r w:rsidRPr="005F6C3F">
        <w:t xml:space="preserve">, </w:t>
      </w:r>
      <w:r w:rsidRPr="005F6C3F">
        <w:rPr>
          <w:i/>
        </w:rPr>
        <w:t>12</w:t>
      </w:r>
      <w:r w:rsidRPr="005F6C3F">
        <w:t>, 100–136.</w:t>
      </w:r>
    </w:p>
    <w:p w:rsidR="001334D4" w:rsidRPr="005F6C3F" w:rsidRDefault="001334D4" w:rsidP="001334D4">
      <w:pPr>
        <w:pStyle w:val="MDPI37itemize"/>
      </w:pPr>
      <w:r w:rsidRPr="005F6C3F">
        <w:t xml:space="preserve">Carifio, J., Perla, R. Ten Common Misunderstandings, Misconceptions, Persistent Myths and Urban Legends about Likert Scales and Likert Response Formats and their Antidote. </w:t>
      </w:r>
      <w:r w:rsidRPr="005F6C3F">
        <w:rPr>
          <w:i/>
        </w:rPr>
        <w:t>Journal of Social Sciences</w:t>
      </w:r>
      <w:r w:rsidRPr="005F6C3F">
        <w:t xml:space="preserve"> </w:t>
      </w:r>
      <w:r w:rsidRPr="005F6C3F">
        <w:rPr>
          <w:b/>
        </w:rPr>
        <w:t>2007</w:t>
      </w:r>
      <w:r w:rsidRPr="005F6C3F">
        <w:t xml:space="preserve">, </w:t>
      </w:r>
      <w:r w:rsidRPr="005F6C3F">
        <w:rPr>
          <w:i/>
        </w:rPr>
        <w:t>3(3)</w:t>
      </w:r>
      <w:r w:rsidRPr="005F6C3F">
        <w:t>, 106-116.</w:t>
      </w:r>
    </w:p>
    <w:p w:rsidR="001334D4" w:rsidRPr="005F6C3F" w:rsidRDefault="001334D4" w:rsidP="001334D4">
      <w:pPr>
        <w:pStyle w:val="MDPI37itemize"/>
      </w:pPr>
      <w:r w:rsidRPr="005F6C3F">
        <w:t xml:space="preserve">CFR Global Executive Search. Generation Z as a game changer on the labour market?! </w:t>
      </w:r>
      <w:r w:rsidRPr="005F6C3F">
        <w:rPr>
          <w:b/>
        </w:rPr>
        <w:t>2023</w:t>
      </w:r>
      <w:r w:rsidRPr="005F6C3F">
        <w:t xml:space="preserve"> Available at: https://www.cfr-group.com/generation-z-as-a-game-changer-on-the-labour-market/ accessed July 2023.</w:t>
      </w:r>
    </w:p>
    <w:p w:rsidR="001334D4" w:rsidRPr="00F0670F" w:rsidRDefault="001334D4" w:rsidP="001334D4">
      <w:pPr>
        <w:pStyle w:val="MDPI37itemize"/>
        <w:rPr>
          <w:color w:val="auto"/>
          <w:sz w:val="22"/>
        </w:rPr>
      </w:pPr>
      <w:r w:rsidRPr="005F6C3F">
        <w:rPr>
          <w:color w:val="auto"/>
          <w:sz w:val="22"/>
        </w:rPr>
        <w:lastRenderedPageBreak/>
        <w:t xml:space="preserve">Corbett M., Rhodes E., Pardy A., Long Z., Pumping up adoption: The role of policy awareness in explaining willingness to adopt heat pumps in Canada, </w:t>
      </w:r>
      <w:r w:rsidRPr="005F6C3F">
        <w:rPr>
          <w:i/>
          <w:color w:val="auto"/>
          <w:sz w:val="22"/>
        </w:rPr>
        <w:t>Energy Research &amp; Social Science</w:t>
      </w:r>
      <w:r w:rsidRPr="005F6C3F">
        <w:rPr>
          <w:color w:val="auto"/>
          <w:sz w:val="22"/>
        </w:rPr>
        <w:t xml:space="preserve"> </w:t>
      </w:r>
      <w:r w:rsidRPr="005F6C3F">
        <w:rPr>
          <w:b/>
          <w:color w:val="auto"/>
          <w:sz w:val="22"/>
        </w:rPr>
        <w:t>2023</w:t>
      </w:r>
      <w:r w:rsidRPr="005F6C3F">
        <w:rPr>
          <w:color w:val="auto"/>
          <w:sz w:val="22"/>
        </w:rPr>
        <w:t xml:space="preserve">, </w:t>
      </w:r>
      <w:r w:rsidRPr="005F6C3F">
        <w:rPr>
          <w:i/>
          <w:color w:val="auto"/>
          <w:sz w:val="22"/>
        </w:rPr>
        <w:t>96</w:t>
      </w:r>
      <w:r w:rsidRPr="005F6C3F">
        <w:rPr>
          <w:color w:val="auto"/>
          <w:sz w:val="22"/>
        </w:rPr>
        <w:t>, 102926.</w:t>
      </w:r>
    </w:p>
    <w:p w:rsidR="001334D4" w:rsidRPr="005F6C3F" w:rsidRDefault="001334D4" w:rsidP="001334D4">
      <w:pPr>
        <w:pStyle w:val="MDPI37itemize"/>
      </w:pPr>
      <w:r w:rsidRPr="005F6C3F">
        <w:t xml:space="preserve">Decuypere, R., Robaeyst, B., Hudders, L., Baccarne, B., Van de Sompel, </w:t>
      </w:r>
      <w:proofErr w:type="gramStart"/>
      <w:r w:rsidRPr="005F6C3F">
        <w:t>D</w:t>
      </w:r>
      <w:proofErr w:type="gramEnd"/>
      <w:r w:rsidRPr="005F6C3F">
        <w:t xml:space="preserve">. Transitioning to energy efficient housing: Drivers and barriers of intermediaries in heat pump technology. </w:t>
      </w:r>
      <w:r w:rsidRPr="005F6C3F">
        <w:rPr>
          <w:i/>
        </w:rPr>
        <w:t>Energy policy</w:t>
      </w:r>
      <w:r w:rsidRPr="005F6C3F">
        <w:t xml:space="preserve"> </w:t>
      </w:r>
      <w:r w:rsidRPr="005F6C3F">
        <w:rPr>
          <w:b/>
        </w:rPr>
        <w:t>2022</w:t>
      </w:r>
      <w:r w:rsidRPr="005F6C3F">
        <w:t xml:space="preserve">, </w:t>
      </w:r>
      <w:r w:rsidRPr="005F6C3F">
        <w:rPr>
          <w:i/>
        </w:rPr>
        <w:t>161</w:t>
      </w:r>
      <w:r w:rsidRPr="005F6C3F">
        <w:t>, 112709.</w:t>
      </w:r>
    </w:p>
    <w:p w:rsidR="001334D4" w:rsidRPr="005F6C3F" w:rsidRDefault="001334D4" w:rsidP="001334D4">
      <w:pPr>
        <w:pStyle w:val="MDPI37itemize"/>
      </w:pPr>
      <w:r w:rsidRPr="005F6C3F">
        <w:t xml:space="preserve">De Witte, M. Gen Z are not ‘coddled.’ They are highly collaborative, self-reliant and pragmatic, Stanford’s Center for Advanced Study in the Behavioral Sciences (CASBS), </w:t>
      </w:r>
      <w:r w:rsidRPr="005F6C3F">
        <w:rPr>
          <w:b/>
        </w:rPr>
        <w:t>2022</w:t>
      </w:r>
      <w:r w:rsidRPr="005F6C3F">
        <w:t>, Available at: https://news.stanford.edu/2022/01/03/know-gen-z/, accessed March 2023</w:t>
      </w:r>
    </w:p>
    <w:p w:rsidR="001334D4" w:rsidRPr="005F6C3F" w:rsidRDefault="001334D4" w:rsidP="001334D4">
      <w:pPr>
        <w:pStyle w:val="MDPI37itemize"/>
      </w:pPr>
      <w:r w:rsidRPr="005F6C3F">
        <w:t xml:space="preserve">Dincă, V. M., Busu, M., Nagy-Bege, Z. Determinants with Impact on Romanian Consumers’ Energy-Saving Habits. </w:t>
      </w:r>
      <w:r w:rsidRPr="005F6C3F">
        <w:rPr>
          <w:i/>
        </w:rPr>
        <w:t>Energies</w:t>
      </w:r>
      <w:r w:rsidRPr="005F6C3F">
        <w:t xml:space="preserve"> </w:t>
      </w:r>
      <w:r w:rsidRPr="005F6C3F">
        <w:rPr>
          <w:b/>
        </w:rPr>
        <w:t>2022</w:t>
      </w:r>
      <w:r w:rsidRPr="005F6C3F">
        <w:t xml:space="preserve">, </w:t>
      </w:r>
      <w:r w:rsidRPr="005F6C3F">
        <w:rPr>
          <w:i/>
        </w:rPr>
        <w:t>15(11)</w:t>
      </w:r>
      <w:r w:rsidRPr="005F6C3F">
        <w:t>, 4080.</w:t>
      </w:r>
    </w:p>
    <w:p w:rsidR="001334D4" w:rsidRPr="005F6C3F" w:rsidRDefault="001334D4" w:rsidP="001334D4">
      <w:pPr>
        <w:pStyle w:val="MDPI37itemize"/>
      </w:pPr>
      <w:r w:rsidRPr="005F6C3F">
        <w:t xml:space="preserve">Dolge, K.; Blumberga, D. Economic growth in contrast to GHG emission reduction measures in Green Deal context. </w:t>
      </w:r>
      <w:r w:rsidRPr="005F6C3F">
        <w:rPr>
          <w:i/>
        </w:rPr>
        <w:t>Ecol. Indic.</w:t>
      </w:r>
      <w:r w:rsidRPr="005F6C3F">
        <w:t xml:space="preserve"> </w:t>
      </w:r>
      <w:r w:rsidRPr="005F6C3F">
        <w:rPr>
          <w:b/>
          <w:bCs/>
        </w:rPr>
        <w:t>2021</w:t>
      </w:r>
      <w:r w:rsidRPr="005F6C3F">
        <w:t xml:space="preserve">, </w:t>
      </w:r>
      <w:r w:rsidRPr="005F6C3F">
        <w:rPr>
          <w:i/>
        </w:rPr>
        <w:t>130</w:t>
      </w:r>
      <w:r w:rsidRPr="005F6C3F">
        <w:t>, 108–15.</w:t>
      </w:r>
    </w:p>
    <w:p w:rsidR="001334D4" w:rsidRPr="005F6C3F" w:rsidRDefault="001334D4" w:rsidP="001334D4">
      <w:pPr>
        <w:pStyle w:val="MDPI37itemize"/>
      </w:pPr>
      <w:r w:rsidRPr="005F6C3F">
        <w:t xml:space="preserve">Dunning, D., Kruger, J. The Dunning–Kruger Effect: On Being Ignorant of One's Own Ignorance Advances. </w:t>
      </w:r>
      <w:r w:rsidRPr="005F6C3F">
        <w:rPr>
          <w:i/>
        </w:rPr>
        <w:t>Experimental Social Psychology</w:t>
      </w:r>
      <w:r w:rsidRPr="005F6C3F">
        <w:t xml:space="preserve"> </w:t>
      </w:r>
      <w:r w:rsidRPr="005F6C3F">
        <w:rPr>
          <w:b/>
        </w:rPr>
        <w:t>2011</w:t>
      </w:r>
      <w:r w:rsidRPr="005F6C3F">
        <w:t xml:space="preserve">, </w:t>
      </w:r>
      <w:r w:rsidRPr="005F6C3F">
        <w:rPr>
          <w:i/>
        </w:rPr>
        <w:t>44</w:t>
      </w:r>
      <w:r w:rsidRPr="005F6C3F">
        <w:t>, 247-296.</w:t>
      </w:r>
    </w:p>
    <w:p w:rsidR="001334D4" w:rsidRPr="005F6C3F" w:rsidRDefault="001334D4" w:rsidP="001334D4">
      <w:pPr>
        <w:pStyle w:val="MDPI37itemize"/>
      </w:pPr>
      <w:r w:rsidRPr="005F6C3F">
        <w:t>European Commission, 2019 Available online: https://commission.europa.eu/strategy-and-policy/priorities-2019-2024/european-green-deal_en (accessed on 20 February 2023).</w:t>
      </w:r>
    </w:p>
    <w:p w:rsidR="001334D4" w:rsidRPr="005F6C3F" w:rsidRDefault="001334D4" w:rsidP="001334D4">
      <w:pPr>
        <w:pStyle w:val="MDPI37itemize"/>
      </w:pPr>
      <w:r w:rsidRPr="005F6C3F">
        <w:t>European Commission, 2022 Available online: https://ec.europa.eu/commission/presscorner/detail/en/IP_22_3131 (accessed 27 April 2023)</w:t>
      </w:r>
    </w:p>
    <w:p w:rsidR="001334D4" w:rsidRPr="005F6C3F" w:rsidRDefault="001334D4" w:rsidP="001334D4">
      <w:pPr>
        <w:pStyle w:val="MDPI37itemize"/>
      </w:pPr>
      <w:r w:rsidRPr="005F6C3F">
        <w:t>European Council, 2023 Available online: https://www.consilium.europa.eu/en/policies/green-deal/fit-for-55-the-eu-plan-for-a-green-transition/ (accessed on 28 April 2023)</w:t>
      </w:r>
    </w:p>
    <w:p w:rsidR="001334D4" w:rsidRPr="005F6C3F" w:rsidRDefault="001334D4" w:rsidP="001334D4">
      <w:pPr>
        <w:pStyle w:val="MDPI37itemize"/>
      </w:pPr>
      <w:r w:rsidRPr="005F6C3F">
        <w:t xml:space="preserve">Field, A. Discovering Statistics Using SPSS - 2nd edition, Sage Publications, 2005, London.  </w:t>
      </w:r>
    </w:p>
    <w:p w:rsidR="001334D4" w:rsidRPr="005F6C3F" w:rsidRDefault="001334D4" w:rsidP="001334D4">
      <w:pPr>
        <w:pStyle w:val="MDPI37itemize"/>
      </w:pPr>
      <w:r w:rsidRPr="005F6C3F">
        <w:t xml:space="preserve">Fleishman, L.A.; De Bruin, W.B., Morgan, M.G. Informed Public Preferences for Electricity Portfolios with CCS and Other Low-Carbon Technologies. </w:t>
      </w:r>
      <w:r w:rsidRPr="005F6C3F">
        <w:rPr>
          <w:i/>
        </w:rPr>
        <w:t>Risk Anal.</w:t>
      </w:r>
      <w:r w:rsidRPr="005F6C3F">
        <w:t xml:space="preserve"> </w:t>
      </w:r>
      <w:r w:rsidRPr="005F6C3F">
        <w:rPr>
          <w:b/>
          <w:bCs/>
        </w:rPr>
        <w:t>2010</w:t>
      </w:r>
      <w:r w:rsidRPr="005F6C3F">
        <w:t xml:space="preserve">, </w:t>
      </w:r>
      <w:r w:rsidRPr="005F6C3F">
        <w:rPr>
          <w:i/>
        </w:rPr>
        <w:t>30</w:t>
      </w:r>
      <w:r w:rsidRPr="005F6C3F">
        <w:t>, 1399–1410.</w:t>
      </w:r>
    </w:p>
    <w:p w:rsidR="001334D4" w:rsidRPr="005F6C3F" w:rsidRDefault="001334D4" w:rsidP="001334D4">
      <w:pPr>
        <w:pStyle w:val="MDPI37itemize"/>
      </w:pPr>
      <w:r w:rsidRPr="005F6C3F">
        <w:t>Frost, J. (2023, May 26). Factor Analysis Guide. Available at: Statistics with Jim Frost: https://statisticsbyjim.com/basics/factor-analysis</w:t>
      </w:r>
      <w:proofErr w:type="gramStart"/>
      <w:r w:rsidRPr="005F6C3F">
        <w:t>/ ,</w:t>
      </w:r>
      <w:proofErr w:type="gramEnd"/>
      <w:r w:rsidRPr="005F6C3F">
        <w:t xml:space="preserve"> accessed April 2023.</w:t>
      </w:r>
    </w:p>
    <w:p w:rsidR="001334D4" w:rsidRPr="005F6C3F" w:rsidRDefault="001334D4" w:rsidP="001334D4">
      <w:pPr>
        <w:pStyle w:val="MDPI37itemize"/>
      </w:pPr>
      <w:r w:rsidRPr="005F6C3F">
        <w:t xml:space="preserve">Greenberg, M. Energy sources, public policy, and public preferences: Analysis of US national and site-specific data. </w:t>
      </w:r>
      <w:r w:rsidRPr="005F6C3F">
        <w:rPr>
          <w:i/>
        </w:rPr>
        <w:t>Energy Policy</w:t>
      </w:r>
      <w:r w:rsidRPr="005F6C3F">
        <w:t xml:space="preserve"> </w:t>
      </w:r>
      <w:r w:rsidRPr="005F6C3F">
        <w:rPr>
          <w:b/>
          <w:bCs/>
        </w:rPr>
        <w:t>2009</w:t>
      </w:r>
      <w:r w:rsidRPr="005F6C3F">
        <w:t xml:space="preserve">, </w:t>
      </w:r>
      <w:r w:rsidRPr="005F6C3F">
        <w:rPr>
          <w:i/>
        </w:rPr>
        <w:t>37</w:t>
      </w:r>
      <w:r w:rsidRPr="005F6C3F">
        <w:t>, 3242–3249.</w:t>
      </w:r>
    </w:p>
    <w:p w:rsidR="001334D4" w:rsidRPr="005F6C3F" w:rsidRDefault="001334D4" w:rsidP="001334D4">
      <w:pPr>
        <w:pStyle w:val="MDPI37itemize"/>
      </w:pPr>
      <w:r w:rsidRPr="005F6C3F">
        <w:t xml:space="preserve">Greenpeace, 2023 Available online: https://www.greenpeace.org/romania/articol/8320/cum-functioneaza-o-pompa-de-caldura-si-de-ce-ar-trebui-sa-ti-pese/ (accessed on 24 April 2023). </w:t>
      </w:r>
    </w:p>
    <w:p w:rsidR="001334D4" w:rsidRPr="005F6C3F" w:rsidRDefault="001334D4" w:rsidP="001334D4">
      <w:pPr>
        <w:pStyle w:val="MDPI37itemize"/>
      </w:pPr>
      <w:r w:rsidRPr="005F6C3F">
        <w:t xml:space="preserve">Habibi M., Hakkaki-Fard A., Long-term energy and exergy analysis of heat pumps with different types of ground and air heat exchangers, </w:t>
      </w:r>
      <w:r w:rsidRPr="005F6C3F">
        <w:rPr>
          <w:i/>
        </w:rPr>
        <w:t>Int. J. Refrig</w:t>
      </w:r>
      <w:r w:rsidRPr="005F6C3F">
        <w:t xml:space="preserve"> </w:t>
      </w:r>
      <w:r w:rsidRPr="005F6C3F">
        <w:rPr>
          <w:b/>
        </w:rPr>
        <w:t>2019</w:t>
      </w:r>
      <w:r w:rsidRPr="005F6C3F">
        <w:t>, 100, 414–433.</w:t>
      </w:r>
    </w:p>
    <w:p w:rsidR="001334D4" w:rsidRPr="005F6C3F" w:rsidRDefault="001334D4" w:rsidP="001334D4">
      <w:pPr>
        <w:pStyle w:val="MDPI37itemize"/>
      </w:pPr>
      <w:r w:rsidRPr="005F6C3F">
        <w:t xml:space="preserve">Hainsch, K.; Loffler, K.; Burandt, T.; Auer, H.; Crespo del Granado, P.; Pisciella, P., Zwickl- Bernhard, S. Energy transition scenarios: What policies, societal attitudes, and technology developments will realize the EU Green Deal? </w:t>
      </w:r>
      <w:r w:rsidRPr="005F6C3F">
        <w:rPr>
          <w:i/>
        </w:rPr>
        <w:t>Energy</w:t>
      </w:r>
      <w:r w:rsidRPr="005F6C3F">
        <w:t xml:space="preserve"> </w:t>
      </w:r>
      <w:r w:rsidRPr="005F6C3F">
        <w:rPr>
          <w:b/>
          <w:bCs/>
        </w:rPr>
        <w:t>2022</w:t>
      </w:r>
      <w:r w:rsidRPr="005F6C3F">
        <w:t xml:space="preserve">, </w:t>
      </w:r>
      <w:r w:rsidRPr="005F6C3F">
        <w:rPr>
          <w:i/>
        </w:rPr>
        <w:t>239</w:t>
      </w:r>
      <w:r w:rsidRPr="005F6C3F">
        <w:t>, 122067.</w:t>
      </w:r>
    </w:p>
    <w:p w:rsidR="001334D4" w:rsidRPr="005F6C3F" w:rsidRDefault="001334D4" w:rsidP="001334D4">
      <w:pPr>
        <w:pStyle w:val="MDPI37itemize"/>
      </w:pPr>
      <w:r w:rsidRPr="005F6C3F">
        <w:t xml:space="preserve">Hawkins, D. I., Best, R. J., </w:t>
      </w:r>
      <w:proofErr w:type="gramStart"/>
      <w:r w:rsidRPr="005F6C3F">
        <w:t>Coney</w:t>
      </w:r>
      <w:proofErr w:type="gramEnd"/>
      <w:r w:rsidRPr="005F6C3F">
        <w:t xml:space="preserve">, K. A. Consumer behaviour: building marketing strategy- 10th edition, McGraw Hill, 2007, Boston. </w:t>
      </w:r>
    </w:p>
    <w:p w:rsidR="001334D4" w:rsidRPr="005F6C3F" w:rsidRDefault="001334D4" w:rsidP="001334D4">
      <w:pPr>
        <w:pStyle w:val="MDPI37itemize"/>
      </w:pPr>
      <w:r w:rsidRPr="005F6C3F">
        <w:t>Institutul National de Statistica (INS). 2023 Fondul de Locuinte Anul 2022, Available at: https://insse.ro/cms/sites/default/files/field/publicatii/fondul_de_locuinte_</w:t>
      </w:r>
      <w:proofErr w:type="gramStart"/>
      <w:r w:rsidRPr="005F6C3F">
        <w:t>2022.pdf ,</w:t>
      </w:r>
      <w:proofErr w:type="gramEnd"/>
      <w:r w:rsidRPr="005F6C3F">
        <w:t xml:space="preserve"> accessed May 2023. </w:t>
      </w:r>
    </w:p>
    <w:p w:rsidR="001334D4" w:rsidRPr="005F6C3F" w:rsidRDefault="001334D4" w:rsidP="001334D4">
      <w:pPr>
        <w:pStyle w:val="MDPI37itemize"/>
      </w:pPr>
      <w:r w:rsidRPr="005F6C3F">
        <w:t xml:space="preserve">International Energy Agency. 2022 The future of heat pumps – world energy outlook special report, Available online: https://iea.blob.core.windows.net/assets/4713780d-c0ae-4686-8c9b-29e782452695/TheFutureofHeatPumps.pdf (accessed 2023).  </w:t>
      </w:r>
    </w:p>
    <w:p w:rsidR="001334D4" w:rsidRPr="005F6C3F" w:rsidRDefault="001334D4" w:rsidP="001334D4">
      <w:pPr>
        <w:pStyle w:val="MDPI37itemize"/>
      </w:pPr>
      <w:r w:rsidRPr="005F6C3F">
        <w:t xml:space="preserve">Karytsas, S. An empirical analysis on awareness and intention adoption of residential ground source heat pump systems in Greece. </w:t>
      </w:r>
      <w:r w:rsidRPr="005F6C3F">
        <w:rPr>
          <w:i/>
        </w:rPr>
        <w:t>Energy Policy</w:t>
      </w:r>
      <w:r w:rsidRPr="005F6C3F">
        <w:t xml:space="preserve"> </w:t>
      </w:r>
      <w:r w:rsidRPr="005F6C3F">
        <w:rPr>
          <w:b/>
        </w:rPr>
        <w:t>2018</w:t>
      </w:r>
      <w:r w:rsidRPr="005F6C3F">
        <w:t xml:space="preserve">, </w:t>
      </w:r>
      <w:r w:rsidRPr="005F6C3F">
        <w:rPr>
          <w:i/>
        </w:rPr>
        <w:t>123</w:t>
      </w:r>
      <w:r w:rsidRPr="005F6C3F">
        <w:t xml:space="preserve">,167-179. </w:t>
      </w:r>
    </w:p>
    <w:p w:rsidR="001334D4" w:rsidRPr="005F6C3F" w:rsidRDefault="001334D4" w:rsidP="001334D4">
      <w:pPr>
        <w:pStyle w:val="MDPI37itemize"/>
      </w:pPr>
      <w:r w:rsidRPr="005F6C3F">
        <w:t xml:space="preserve">Karytsas S., Theodoropoulou H. Public awareness and willingness to adopt ground source heat pumps for domestic heating and cooling, </w:t>
      </w:r>
      <w:r w:rsidRPr="005F6C3F">
        <w:rPr>
          <w:i/>
        </w:rPr>
        <w:t>Renewable and Sustainable Energy Reviews</w:t>
      </w:r>
      <w:r w:rsidRPr="005F6C3F">
        <w:t xml:space="preserve"> </w:t>
      </w:r>
      <w:r w:rsidRPr="005F6C3F">
        <w:rPr>
          <w:b/>
        </w:rPr>
        <w:t>2014</w:t>
      </w:r>
      <w:r w:rsidRPr="005F6C3F">
        <w:t xml:space="preserve">, </w:t>
      </w:r>
      <w:r w:rsidRPr="005F6C3F">
        <w:rPr>
          <w:i/>
        </w:rPr>
        <w:t>34</w:t>
      </w:r>
      <w:r w:rsidRPr="005F6C3F">
        <w:t>, 49–57.</w:t>
      </w:r>
    </w:p>
    <w:p w:rsidR="001334D4" w:rsidRPr="00EE2C8C" w:rsidRDefault="001334D4" w:rsidP="001334D4">
      <w:pPr>
        <w:pStyle w:val="MDPI37itemize"/>
        <w:rPr>
          <w:rStyle w:val="Hyperlink"/>
          <w:rFonts w:ascii="Times New Roman" w:hAnsi="Times New Roman"/>
          <w:color w:val="auto"/>
        </w:rPr>
      </w:pPr>
      <w:r w:rsidRPr="005F6C3F">
        <w:t xml:space="preserve">Kern F., Rogge K., Howlett M. Policy mixes for sustainability transitions: new approaches and insights through bridging innovation and policy studies. </w:t>
      </w:r>
      <w:r w:rsidRPr="005F6C3F">
        <w:rPr>
          <w:i/>
        </w:rPr>
        <w:t>Res. Policy</w:t>
      </w:r>
      <w:r w:rsidRPr="005F6C3F">
        <w:t xml:space="preserve"> </w:t>
      </w:r>
      <w:r w:rsidRPr="005F6C3F">
        <w:rPr>
          <w:b/>
        </w:rPr>
        <w:t>2019</w:t>
      </w:r>
      <w:r w:rsidRPr="005F6C3F">
        <w:t xml:space="preserve">, </w:t>
      </w:r>
      <w:r w:rsidRPr="005F6C3F">
        <w:rPr>
          <w:i/>
        </w:rPr>
        <w:t>48 (10)</w:t>
      </w:r>
      <w:r w:rsidRPr="005F6C3F">
        <w:t xml:space="preserve">, 103832. </w:t>
      </w:r>
    </w:p>
    <w:p w:rsidR="001334D4" w:rsidRPr="005F6C3F" w:rsidRDefault="001334D4" w:rsidP="001334D4">
      <w:pPr>
        <w:pStyle w:val="MDPI37itemize"/>
      </w:pPr>
      <w:r w:rsidRPr="005F6C3F">
        <w:lastRenderedPageBreak/>
        <w:t xml:space="preserve">Killip, G., Owen, A. The construction industry as agents of energy demand configuration in the existing housing stock. </w:t>
      </w:r>
      <w:r w:rsidRPr="005F6C3F">
        <w:rPr>
          <w:i/>
        </w:rPr>
        <w:t>Energy Policy</w:t>
      </w:r>
      <w:r w:rsidRPr="005F6C3F">
        <w:t xml:space="preserve"> </w:t>
      </w:r>
      <w:r w:rsidRPr="005F6C3F">
        <w:rPr>
          <w:b/>
        </w:rPr>
        <w:t>2020</w:t>
      </w:r>
      <w:r w:rsidRPr="005F6C3F">
        <w:t xml:space="preserve">, </w:t>
      </w:r>
      <w:r w:rsidRPr="005F6C3F">
        <w:rPr>
          <w:i/>
        </w:rPr>
        <w:t>147</w:t>
      </w:r>
      <w:r w:rsidRPr="005F6C3F">
        <w:t>, 111816.</w:t>
      </w:r>
    </w:p>
    <w:p w:rsidR="001334D4" w:rsidRPr="005F6C3F" w:rsidRDefault="001334D4" w:rsidP="001334D4">
      <w:pPr>
        <w:pStyle w:val="MDPI37itemize"/>
      </w:pPr>
      <w:r w:rsidRPr="005F6C3F">
        <w:t xml:space="preserve">Lillemo S., Alfnes F., Halvorsen B., Wik M. Households’ heating investments: The effect of motives and attitudes on choice of equipment. </w:t>
      </w:r>
      <w:r w:rsidRPr="005F6C3F">
        <w:rPr>
          <w:i/>
        </w:rPr>
        <w:t>Biomass and Bioenergy</w:t>
      </w:r>
      <w:r w:rsidRPr="005F6C3F">
        <w:t xml:space="preserve"> </w:t>
      </w:r>
      <w:r w:rsidRPr="005F6C3F">
        <w:rPr>
          <w:b/>
        </w:rPr>
        <w:t>2013</w:t>
      </w:r>
      <w:r w:rsidRPr="005F6C3F">
        <w:t xml:space="preserve">, </w:t>
      </w:r>
      <w:r w:rsidRPr="005F6C3F">
        <w:rPr>
          <w:i/>
        </w:rPr>
        <w:t>57</w:t>
      </w:r>
      <w:r w:rsidRPr="005F6C3F">
        <w:t xml:space="preserve">, 4-12. </w:t>
      </w:r>
    </w:p>
    <w:p w:rsidR="001334D4" w:rsidRPr="005F6C3F" w:rsidRDefault="001334D4" w:rsidP="001334D4">
      <w:pPr>
        <w:pStyle w:val="MDPI37itemize"/>
      </w:pPr>
      <w:r w:rsidRPr="005F6C3F">
        <w:t>Ludwig, T., Gray, T., Rowell, A. Increasing Recycling in Academic Buildings: A Systematic Replication</w:t>
      </w:r>
      <w:r w:rsidRPr="005F6C3F">
        <w:rPr>
          <w:i/>
        </w:rPr>
        <w:t>. Journal of Applied Behavior Analysis</w:t>
      </w:r>
      <w:r w:rsidRPr="005F6C3F">
        <w:t xml:space="preserve"> </w:t>
      </w:r>
      <w:r w:rsidRPr="005F6C3F">
        <w:rPr>
          <w:b/>
        </w:rPr>
        <w:t>1998</w:t>
      </w:r>
      <w:r w:rsidRPr="005F6C3F">
        <w:t xml:space="preserve">, </w:t>
      </w:r>
      <w:r w:rsidRPr="005F6C3F">
        <w:rPr>
          <w:i/>
        </w:rPr>
        <w:t>31(4),</w:t>
      </w:r>
      <w:r w:rsidRPr="005F6C3F">
        <w:t xml:space="preserve"> 683–86. </w:t>
      </w:r>
    </w:p>
    <w:p w:rsidR="001334D4" w:rsidRPr="005F6C3F" w:rsidRDefault="001334D4" w:rsidP="001334D4">
      <w:pPr>
        <w:pStyle w:val="MDPI37itemize"/>
      </w:pPr>
      <w:r w:rsidRPr="005F6C3F">
        <w:t xml:space="preserve">MacFie, H. (Ed.) Consumer-led food product development, Elsevier, 2007. </w:t>
      </w:r>
    </w:p>
    <w:p w:rsidR="001334D4" w:rsidRPr="005F6C3F" w:rsidRDefault="001334D4" w:rsidP="001334D4">
      <w:pPr>
        <w:pStyle w:val="MDPI37itemize"/>
      </w:pPr>
      <w:r w:rsidRPr="005F6C3F">
        <w:t xml:space="preserve">Mahapatra, K., Gustavsson, L. Innovative approaches to domestic heating: homeowners' perceptions and factors influencing their choice of heating system. </w:t>
      </w:r>
      <w:r w:rsidRPr="005F6C3F">
        <w:rPr>
          <w:i/>
        </w:rPr>
        <w:t>International Journal of Consumer Studies</w:t>
      </w:r>
      <w:r w:rsidRPr="005F6C3F">
        <w:t xml:space="preserve"> </w:t>
      </w:r>
      <w:r w:rsidRPr="005F6C3F">
        <w:rPr>
          <w:b/>
        </w:rPr>
        <w:t>2008</w:t>
      </w:r>
      <w:r w:rsidRPr="005F6C3F">
        <w:t xml:space="preserve">, </w:t>
      </w:r>
      <w:r w:rsidRPr="005F6C3F">
        <w:rPr>
          <w:i/>
        </w:rPr>
        <w:t>32(1)</w:t>
      </w:r>
      <w:r w:rsidRPr="005F6C3F">
        <w:t xml:space="preserve">, 75-87. </w:t>
      </w:r>
    </w:p>
    <w:p w:rsidR="001334D4" w:rsidRPr="005F6C3F" w:rsidRDefault="001334D4" w:rsidP="001334D4">
      <w:pPr>
        <w:pStyle w:val="MDPI37itemize"/>
      </w:pPr>
      <w:r w:rsidRPr="005F6C3F">
        <w:t xml:space="preserve">McKinsey&amp; Company 2023 </w:t>
      </w:r>
      <w:proofErr w:type="gramStart"/>
      <w:r w:rsidRPr="005F6C3F">
        <w:t>What</w:t>
      </w:r>
      <w:proofErr w:type="gramEnd"/>
      <w:r w:rsidRPr="005F6C3F">
        <w:t xml:space="preserve"> is Gen Z? Available at: https://www.mckinsey.com/featured-insights/mckinsey-explainers/what-is-gen-z#/, accessed June 2023. </w:t>
      </w:r>
    </w:p>
    <w:p w:rsidR="001334D4" w:rsidRPr="005F6C3F" w:rsidRDefault="001334D4" w:rsidP="001334D4">
      <w:pPr>
        <w:pStyle w:val="MDPI37itemize"/>
      </w:pPr>
      <w:r w:rsidRPr="005F6C3F">
        <w:t xml:space="preserve">Mitrica E. </w:t>
      </w:r>
      <w:r w:rsidRPr="005F6C3F">
        <w:rPr>
          <w:bCs/>
          <w:shd w:val="clear" w:color="auto" w:fill="FFFFFF"/>
        </w:rPr>
        <w:t xml:space="preserve">Economic analysis of the initial investment for intermediary introduction of compressed natural gas in Romania. </w:t>
      </w:r>
      <w:r w:rsidRPr="005F6C3F">
        <w:rPr>
          <w:i/>
          <w:shd w:val="clear" w:color="auto" w:fill="FFFFFF"/>
        </w:rPr>
        <w:t>Energy for Sustainable Development</w:t>
      </w:r>
      <w:r w:rsidRPr="005F6C3F">
        <w:rPr>
          <w:shd w:val="clear" w:color="auto" w:fill="FFFFFF"/>
        </w:rPr>
        <w:t xml:space="preserve"> </w:t>
      </w:r>
      <w:r w:rsidRPr="005F6C3F">
        <w:rPr>
          <w:b/>
          <w:shd w:val="clear" w:color="auto" w:fill="FFFFFF"/>
        </w:rPr>
        <w:t>2023</w:t>
      </w:r>
      <w:r w:rsidRPr="005F6C3F">
        <w:rPr>
          <w:shd w:val="clear" w:color="auto" w:fill="FFFFFF"/>
        </w:rPr>
        <w:t xml:space="preserve">, </w:t>
      </w:r>
      <w:hyperlink r:id="rId7" w:tooltip="Go to table of contents for this volume/issue" w:history="1">
        <w:r w:rsidRPr="005F6C3F">
          <w:rPr>
            <w:rStyle w:val="anchor-text"/>
            <w:rFonts w:ascii="Times New Roman" w:hAnsi="Times New Roman"/>
          </w:rPr>
          <w:t>76</w:t>
        </w:r>
      </w:hyperlink>
      <w:r w:rsidRPr="005F6C3F">
        <w:t xml:space="preserve">, 101270. </w:t>
      </w:r>
    </w:p>
    <w:p w:rsidR="001334D4" w:rsidRPr="005F6C3F" w:rsidRDefault="001334D4" w:rsidP="001334D4">
      <w:pPr>
        <w:pStyle w:val="MDPI37itemize"/>
      </w:pPr>
      <w:r w:rsidRPr="005F6C3F">
        <w:t xml:space="preserve">Penaloza D, Mata E, Fransson N, Friden H, Samperio A, Quijano A., Cuneo A, Social and market acceptance of photovoltaic panels and heat pumps in Europe: A literature review and survey. </w:t>
      </w:r>
      <w:r w:rsidRPr="005F6C3F">
        <w:rPr>
          <w:i/>
        </w:rPr>
        <w:t>Renewable and Sustainable Energy Reviews</w:t>
      </w:r>
      <w:r w:rsidRPr="005F6C3F">
        <w:t xml:space="preserve"> </w:t>
      </w:r>
      <w:r w:rsidRPr="005F6C3F">
        <w:rPr>
          <w:b/>
        </w:rPr>
        <w:t>2022</w:t>
      </w:r>
      <w:r w:rsidRPr="005F6C3F">
        <w:t xml:space="preserve">, 111867. </w:t>
      </w:r>
    </w:p>
    <w:p w:rsidR="001334D4" w:rsidRPr="005F6C3F" w:rsidRDefault="001334D4" w:rsidP="001334D4">
      <w:pPr>
        <w:pStyle w:val="MDPI37itemize"/>
      </w:pPr>
      <w:r w:rsidRPr="005F6C3F">
        <w:t xml:space="preserve">Pietzcker, R. Osorio, S., Rodrigues, R. Tightening EU ETS targets in line with the European Green Deal: Impacts on the decarbonization of the EU power sector. </w:t>
      </w:r>
      <w:r w:rsidRPr="005F6C3F">
        <w:rPr>
          <w:i/>
        </w:rPr>
        <w:t>Appl. Energy</w:t>
      </w:r>
      <w:r w:rsidRPr="005F6C3F">
        <w:t xml:space="preserve"> </w:t>
      </w:r>
      <w:r w:rsidRPr="005F6C3F">
        <w:rPr>
          <w:b/>
          <w:bCs/>
        </w:rPr>
        <w:t>2021</w:t>
      </w:r>
      <w:r w:rsidRPr="005F6C3F">
        <w:t xml:space="preserve">, 293, 116–914. </w:t>
      </w:r>
    </w:p>
    <w:p w:rsidR="001334D4" w:rsidRPr="005F6C3F" w:rsidRDefault="001334D4" w:rsidP="001334D4">
      <w:pPr>
        <w:pStyle w:val="MDPI37itemize"/>
      </w:pPr>
      <w:r w:rsidRPr="005F6C3F">
        <w:t xml:space="preserve">Rabbi, M.F.; Popp, J.; Máté, D. Kovács, S. Energy Security and Energy Transition to Achieve Carbon Neutrality. </w:t>
      </w:r>
      <w:r w:rsidRPr="005F6C3F">
        <w:rPr>
          <w:i/>
        </w:rPr>
        <w:t>Energies</w:t>
      </w:r>
      <w:r w:rsidRPr="005F6C3F">
        <w:t xml:space="preserve"> </w:t>
      </w:r>
      <w:r w:rsidRPr="005F6C3F">
        <w:rPr>
          <w:b/>
          <w:bCs/>
        </w:rPr>
        <w:t>2022</w:t>
      </w:r>
      <w:r w:rsidRPr="005F6C3F">
        <w:t xml:space="preserve">, 15, 8126. </w:t>
      </w:r>
    </w:p>
    <w:p w:rsidR="001334D4" w:rsidRPr="005F6C3F" w:rsidRDefault="001334D4" w:rsidP="001334D4">
      <w:pPr>
        <w:pStyle w:val="MDPI37itemize"/>
      </w:pPr>
      <w:r w:rsidRPr="005F6C3F">
        <w:t>Rosenow,</w:t>
      </w:r>
      <w:r>
        <w:t xml:space="preserve"> </w:t>
      </w:r>
      <w:r w:rsidRPr="005F6C3F">
        <w:t>J., Gibb, D., Nowak, T., Lowes, R.</w:t>
      </w:r>
      <w:r>
        <w:t xml:space="preserve"> </w:t>
      </w:r>
      <w:r w:rsidRPr="005F6C3F">
        <w:t>Heating</w:t>
      </w:r>
      <w:r>
        <w:t xml:space="preserve"> </w:t>
      </w:r>
      <w:r w:rsidRPr="005F6C3F">
        <w:t>up</w:t>
      </w:r>
      <w:r>
        <w:t xml:space="preserve"> </w:t>
      </w:r>
      <w:r w:rsidRPr="005F6C3F">
        <w:t>the</w:t>
      </w:r>
      <w:r>
        <w:t xml:space="preserve"> </w:t>
      </w:r>
      <w:r w:rsidRPr="005F6C3F">
        <w:t>global</w:t>
      </w:r>
      <w:r>
        <w:t xml:space="preserve"> </w:t>
      </w:r>
      <w:r w:rsidRPr="005F6C3F">
        <w:t>heat</w:t>
      </w:r>
      <w:r>
        <w:t xml:space="preserve"> </w:t>
      </w:r>
      <w:r w:rsidRPr="005F6C3F">
        <w:t>pump</w:t>
      </w:r>
      <w:r>
        <w:t xml:space="preserve"> </w:t>
      </w:r>
      <w:r w:rsidRPr="005F6C3F">
        <w:t>market.</w:t>
      </w:r>
      <w:r>
        <w:t xml:space="preserve"> </w:t>
      </w:r>
      <w:r w:rsidRPr="005F6C3F">
        <w:rPr>
          <w:i/>
        </w:rPr>
        <w:t>Nature</w:t>
      </w:r>
      <w:r>
        <w:rPr>
          <w:i/>
        </w:rPr>
        <w:t xml:space="preserve"> </w:t>
      </w:r>
      <w:r w:rsidRPr="005F6C3F">
        <w:rPr>
          <w:i/>
        </w:rPr>
        <w:t>Energy</w:t>
      </w:r>
      <w:r w:rsidRPr="005F6C3F">
        <w:t xml:space="preserve">, </w:t>
      </w:r>
      <w:r w:rsidRPr="005F6C3F">
        <w:rPr>
          <w:b/>
        </w:rPr>
        <w:t>2022</w:t>
      </w:r>
      <w:r w:rsidRPr="005F6C3F">
        <w:t xml:space="preserve">, 7(10). </w:t>
      </w:r>
    </w:p>
    <w:p w:rsidR="001334D4" w:rsidRPr="005F6C3F" w:rsidRDefault="001334D4" w:rsidP="001334D4">
      <w:pPr>
        <w:pStyle w:val="MDPI37itemize"/>
      </w:pPr>
      <w:r w:rsidRPr="005F6C3F">
        <w:t xml:space="preserve">Siegrist, M. Factors influencing public acceptance of innovative food technologies and products. </w:t>
      </w:r>
      <w:r w:rsidRPr="005F6C3F">
        <w:rPr>
          <w:i/>
        </w:rPr>
        <w:t>Trends in Food Science &amp; Technology</w:t>
      </w:r>
      <w:r w:rsidRPr="005F6C3F">
        <w:t xml:space="preserve"> </w:t>
      </w:r>
      <w:r w:rsidRPr="005F6C3F">
        <w:rPr>
          <w:b/>
        </w:rPr>
        <w:t>2008</w:t>
      </w:r>
      <w:r w:rsidRPr="005F6C3F">
        <w:t xml:space="preserve">, </w:t>
      </w:r>
      <w:r w:rsidRPr="005F6C3F">
        <w:rPr>
          <w:i/>
        </w:rPr>
        <w:t>19(11)</w:t>
      </w:r>
      <w:r w:rsidRPr="005F6C3F">
        <w:t xml:space="preserve">, 603-608. </w:t>
      </w:r>
    </w:p>
    <w:p w:rsidR="001334D4" w:rsidRPr="005F6C3F" w:rsidRDefault="001334D4" w:rsidP="001334D4">
      <w:pPr>
        <w:pStyle w:val="MDPI37itemize"/>
      </w:pPr>
      <w:r w:rsidRPr="005F6C3F">
        <w:t xml:space="preserve">Siegrist, M., Cvetkovich, G. Perception of hazards: The role of social trust and knowledge. </w:t>
      </w:r>
      <w:r w:rsidRPr="005F6C3F">
        <w:rPr>
          <w:i/>
        </w:rPr>
        <w:t>Risk Anal.</w:t>
      </w:r>
      <w:r w:rsidRPr="005F6C3F">
        <w:t xml:space="preserve"> </w:t>
      </w:r>
      <w:r w:rsidRPr="005F6C3F">
        <w:rPr>
          <w:b/>
          <w:bCs/>
        </w:rPr>
        <w:t>2000</w:t>
      </w:r>
      <w:r w:rsidRPr="005F6C3F">
        <w:t xml:space="preserve">, </w:t>
      </w:r>
      <w:r w:rsidRPr="005F6C3F">
        <w:rPr>
          <w:i/>
        </w:rPr>
        <w:t>20</w:t>
      </w:r>
      <w:r w:rsidRPr="005F6C3F">
        <w:t>, 713–719.</w:t>
      </w:r>
    </w:p>
    <w:p w:rsidR="001334D4" w:rsidRPr="005F6C3F" w:rsidRDefault="001334D4" w:rsidP="001334D4">
      <w:pPr>
        <w:pStyle w:val="MDPI37itemize"/>
      </w:pPr>
      <w:r w:rsidRPr="005F6C3F">
        <w:t xml:space="preserve">Sopha, B. M., Klöckner, C. A., Skjevrak, G., Hertwich, E. G. Norwegian households’ perception of wood pellet stove compared to air-to-air heat pump and electric heating. </w:t>
      </w:r>
      <w:r w:rsidRPr="005F6C3F">
        <w:rPr>
          <w:i/>
          <w:iCs/>
        </w:rPr>
        <w:t xml:space="preserve">Energy Policy </w:t>
      </w:r>
      <w:r w:rsidRPr="005F6C3F">
        <w:rPr>
          <w:b/>
          <w:iCs/>
        </w:rPr>
        <w:t>2010</w:t>
      </w:r>
      <w:r w:rsidRPr="005F6C3F">
        <w:rPr>
          <w:i/>
          <w:iCs/>
        </w:rPr>
        <w:t>, 38</w:t>
      </w:r>
      <w:r w:rsidRPr="005F6C3F">
        <w:t>(7), 3744-3754.</w:t>
      </w:r>
    </w:p>
    <w:p w:rsidR="001334D4" w:rsidRPr="005F6C3F" w:rsidRDefault="001334D4" w:rsidP="001334D4">
      <w:pPr>
        <w:pStyle w:val="MDPI37itemize"/>
      </w:pPr>
      <w:r w:rsidRPr="005F6C3F">
        <w:t xml:space="preserve">Sovacool B., Gross A. The social acceptance of artificial photosynthesis: towards a </w:t>
      </w:r>
      <w:proofErr w:type="gramStart"/>
      <w:r w:rsidRPr="005F6C3F">
        <w:t>conceptual  framework</w:t>
      </w:r>
      <w:proofErr w:type="gramEnd"/>
      <w:r w:rsidRPr="005F6C3F">
        <w:t xml:space="preserve">. </w:t>
      </w:r>
      <w:r w:rsidRPr="005F6C3F">
        <w:rPr>
          <w:i/>
        </w:rPr>
        <w:t>Interface focus</w:t>
      </w:r>
      <w:r w:rsidRPr="005F6C3F">
        <w:t xml:space="preserve"> </w:t>
      </w:r>
      <w:r w:rsidRPr="005F6C3F">
        <w:rPr>
          <w:b/>
        </w:rPr>
        <w:t>2015</w:t>
      </w:r>
      <w:r w:rsidRPr="005F6C3F">
        <w:t xml:space="preserve">, </w:t>
      </w:r>
      <w:r w:rsidRPr="005F6C3F">
        <w:rPr>
          <w:i/>
        </w:rPr>
        <w:t>5</w:t>
      </w:r>
      <w:proofErr w:type="gramStart"/>
      <w:r w:rsidRPr="005F6C3F">
        <w:t>,20140089</w:t>
      </w:r>
      <w:proofErr w:type="gramEnd"/>
      <w:r w:rsidRPr="005F6C3F">
        <w:t>.</w:t>
      </w:r>
    </w:p>
    <w:p w:rsidR="001334D4" w:rsidRPr="005F6C3F" w:rsidRDefault="001334D4" w:rsidP="001334D4">
      <w:pPr>
        <w:pStyle w:val="MDPI37itemize"/>
      </w:pPr>
      <w:r w:rsidRPr="005F6C3F">
        <w:t xml:space="preserve">Tantau, A., Puskás-Tompos, A., Stanciu, C., Fratila, L., Curmei, C. Key Factors Which Contribute to the Participation of Consumers in Demand Response Programs and Enable the Proliferation of Renewable Energy Sources. </w:t>
      </w:r>
      <w:r w:rsidRPr="005F6C3F">
        <w:rPr>
          <w:i/>
        </w:rPr>
        <w:t>Energies</w:t>
      </w:r>
      <w:r w:rsidRPr="005F6C3F">
        <w:t xml:space="preserve"> </w:t>
      </w:r>
      <w:r w:rsidRPr="005F6C3F">
        <w:rPr>
          <w:b/>
          <w:bCs/>
        </w:rPr>
        <w:t>2021</w:t>
      </w:r>
      <w:r w:rsidRPr="005F6C3F">
        <w:t xml:space="preserve">, </w:t>
      </w:r>
      <w:r w:rsidRPr="005F6C3F">
        <w:rPr>
          <w:i/>
        </w:rPr>
        <w:t>14</w:t>
      </w:r>
      <w:r w:rsidRPr="005F6C3F">
        <w:t>, 8273.</w:t>
      </w:r>
    </w:p>
    <w:p w:rsidR="001334D4" w:rsidRPr="005F6C3F" w:rsidRDefault="001334D4" w:rsidP="001334D4">
      <w:pPr>
        <w:pStyle w:val="MDPI37itemize"/>
      </w:pPr>
      <w:r w:rsidRPr="005F6C3F">
        <w:t xml:space="preserve">Thomaßen, G., Kavvadias, K., Navarro, J. P. J. The decarbonisation of the EU heating sector through electrification: A parametric analysis. </w:t>
      </w:r>
      <w:r w:rsidRPr="005F6C3F">
        <w:rPr>
          <w:i/>
          <w:iCs/>
        </w:rPr>
        <w:t xml:space="preserve">Energy Policy </w:t>
      </w:r>
      <w:r w:rsidRPr="005F6C3F">
        <w:rPr>
          <w:b/>
          <w:iCs/>
        </w:rPr>
        <w:t>2021</w:t>
      </w:r>
      <w:r w:rsidRPr="005F6C3F">
        <w:t xml:space="preserve">, </w:t>
      </w:r>
      <w:r w:rsidRPr="005F6C3F">
        <w:rPr>
          <w:i/>
          <w:iCs/>
        </w:rPr>
        <w:t>148</w:t>
      </w:r>
      <w:r w:rsidRPr="005F6C3F">
        <w:t>, 111929.</w:t>
      </w:r>
    </w:p>
    <w:p w:rsidR="001334D4" w:rsidRPr="005F6C3F" w:rsidRDefault="001334D4" w:rsidP="001334D4">
      <w:pPr>
        <w:pStyle w:val="MDPI37itemize"/>
      </w:pPr>
      <w:r w:rsidRPr="005F6C3F">
        <w:t xml:space="preserve">Trudel, R., Cotte, J. Does It Pay to Be Good? </w:t>
      </w:r>
      <w:r w:rsidRPr="005F6C3F">
        <w:rPr>
          <w:i/>
        </w:rPr>
        <w:t>MIT Sloan Management Review</w:t>
      </w:r>
      <w:r w:rsidRPr="005F6C3F">
        <w:t xml:space="preserve"> </w:t>
      </w:r>
      <w:r w:rsidRPr="005F6C3F">
        <w:rPr>
          <w:b/>
        </w:rPr>
        <w:t>2009</w:t>
      </w:r>
      <w:r w:rsidRPr="005F6C3F">
        <w:t>, 50 (2), 61.</w:t>
      </w:r>
    </w:p>
    <w:p w:rsidR="001334D4" w:rsidRPr="005F6C3F" w:rsidRDefault="001334D4" w:rsidP="001334D4">
      <w:pPr>
        <w:pStyle w:val="MDPI37itemize"/>
        <w:rPr>
          <w:rFonts w:ascii="var(--nova-font-family-display)" w:hAnsi="var(--nova-font-family-display)"/>
          <w:color w:val="131314"/>
        </w:rPr>
      </w:pPr>
      <w:r w:rsidRPr="005F6C3F">
        <w:rPr>
          <w:rFonts w:ascii="var(--nova-font-family-display)" w:hAnsi="var(--nova-font-family-display)"/>
          <w:color w:val="131314"/>
        </w:rPr>
        <w:t xml:space="preserve">Turner A. Generation Z: Technology and Social Interest. </w:t>
      </w:r>
      <w:r w:rsidRPr="005F6C3F">
        <w:rPr>
          <w:rFonts w:ascii="var(--nova-font-family-display)" w:hAnsi="var(--nova-font-family-display)"/>
          <w:i/>
          <w:color w:val="131314"/>
        </w:rPr>
        <w:t>The Journal of Individual Psychology</w:t>
      </w:r>
      <w:r w:rsidRPr="005F6C3F">
        <w:rPr>
          <w:rFonts w:ascii="var(--nova-font-family-display)" w:hAnsi="var(--nova-font-family-display)"/>
          <w:color w:val="131314"/>
        </w:rPr>
        <w:t xml:space="preserve"> </w:t>
      </w:r>
      <w:r w:rsidRPr="005F6C3F">
        <w:rPr>
          <w:rFonts w:ascii="var(--nova-font-family-display)" w:hAnsi="var(--nova-font-family-display)"/>
          <w:b/>
          <w:color w:val="131314"/>
        </w:rPr>
        <w:t>2015</w:t>
      </w:r>
      <w:r w:rsidRPr="005F6C3F">
        <w:rPr>
          <w:rFonts w:ascii="var(--nova-font-family-display)" w:hAnsi="var(--nova-font-family-display)"/>
          <w:color w:val="131314"/>
        </w:rPr>
        <w:t xml:space="preserve">, </w:t>
      </w:r>
      <w:r w:rsidRPr="005F6C3F">
        <w:rPr>
          <w:rFonts w:ascii="var(--nova-font-family-display)" w:hAnsi="var(--nova-font-family-display)"/>
          <w:i/>
          <w:color w:val="131314"/>
        </w:rPr>
        <w:t>71(2)</w:t>
      </w:r>
      <w:r w:rsidRPr="005F6C3F">
        <w:rPr>
          <w:rFonts w:ascii="var(--nova-font-family-display)" w:hAnsi="var(--nova-font-family-display)"/>
          <w:color w:val="131314"/>
        </w:rPr>
        <w:t xml:space="preserve">, 103-113. </w:t>
      </w:r>
    </w:p>
    <w:p w:rsidR="001334D4" w:rsidRPr="005F6C3F" w:rsidRDefault="001334D4" w:rsidP="001334D4">
      <w:pPr>
        <w:pStyle w:val="MDPI37itemize"/>
        <w:rPr>
          <w:rFonts w:ascii="var(--nova-font-family-display)" w:hAnsi="var(--nova-font-family-display)"/>
          <w:color w:val="131314"/>
        </w:rPr>
      </w:pPr>
      <w:r w:rsidRPr="005F6C3F">
        <w:rPr>
          <w:rFonts w:ascii="var(--nova-font-family-display)" w:hAnsi="var(--nova-font-family-display)"/>
          <w:color w:val="131314"/>
        </w:rPr>
        <w:t xml:space="preserve">Van Houten, R., Nau, P., Merrigan, M. Reducing Elevator Energy Use: A Comparison of Posted Feedback and Reduced Elevator Convenience. </w:t>
      </w:r>
      <w:r w:rsidRPr="005F6C3F">
        <w:rPr>
          <w:rFonts w:ascii="var(--nova-font-family-display)" w:hAnsi="var(--nova-font-family-display)"/>
          <w:i/>
          <w:color w:val="131314"/>
        </w:rPr>
        <w:t>Journal of Applied Behavior Analysis</w:t>
      </w:r>
      <w:r w:rsidRPr="005F6C3F">
        <w:rPr>
          <w:rFonts w:ascii="var(--nova-font-family-display)" w:hAnsi="var(--nova-font-family-display)"/>
          <w:color w:val="131314"/>
        </w:rPr>
        <w:t xml:space="preserve"> </w:t>
      </w:r>
      <w:r w:rsidRPr="005F6C3F">
        <w:rPr>
          <w:rFonts w:ascii="var(--nova-font-family-display)" w:hAnsi="var(--nova-font-family-display)"/>
          <w:b/>
          <w:color w:val="131314"/>
        </w:rPr>
        <w:t>1981</w:t>
      </w:r>
      <w:r w:rsidRPr="005F6C3F">
        <w:rPr>
          <w:rFonts w:ascii="var(--nova-font-family-display)" w:hAnsi="var(--nova-font-family-display)"/>
          <w:color w:val="131314"/>
        </w:rPr>
        <w:t xml:space="preserve">, </w:t>
      </w:r>
      <w:r w:rsidRPr="005F6C3F">
        <w:rPr>
          <w:rFonts w:ascii="var(--nova-font-family-display)" w:hAnsi="var(--nova-font-family-display)"/>
          <w:i/>
          <w:color w:val="131314"/>
        </w:rPr>
        <w:t>14 (4)</w:t>
      </w:r>
      <w:r w:rsidRPr="005F6C3F">
        <w:rPr>
          <w:rFonts w:ascii="var(--nova-font-family-display)" w:hAnsi="var(--nova-font-family-display)"/>
          <w:color w:val="131314"/>
        </w:rPr>
        <w:t>, 377–87.</w:t>
      </w:r>
    </w:p>
    <w:p w:rsidR="001334D4" w:rsidRPr="005F6C3F" w:rsidRDefault="001334D4" w:rsidP="001334D4">
      <w:pPr>
        <w:pStyle w:val="MDPI37itemize"/>
        <w:rPr>
          <w:rFonts w:ascii="var(--nova-font-family-display)" w:hAnsi="var(--nova-font-family-display)"/>
          <w:color w:val="131314"/>
        </w:rPr>
      </w:pPr>
      <w:r w:rsidRPr="005F6C3F">
        <w:rPr>
          <w:rFonts w:ascii="var(--nova-font-family-display)" w:hAnsi="var(--nova-font-family-display)"/>
          <w:color w:val="131314"/>
        </w:rPr>
        <w:t xml:space="preserve">Walker, G., Devine-Wright, P., Hunter, S., High, H., Evans, B. Trust and community: Exploring the meanings, contexts and dynamics of community renewable energy. </w:t>
      </w:r>
      <w:r w:rsidRPr="005F6C3F">
        <w:rPr>
          <w:rFonts w:ascii="var(--nova-font-family-display)" w:hAnsi="var(--nova-font-family-display)"/>
          <w:i/>
          <w:color w:val="131314"/>
        </w:rPr>
        <w:t>Energy Policy</w:t>
      </w:r>
      <w:r w:rsidRPr="005F6C3F">
        <w:rPr>
          <w:rFonts w:ascii="var(--nova-font-family-display)" w:hAnsi="var(--nova-font-family-display)"/>
          <w:color w:val="131314"/>
        </w:rPr>
        <w:t xml:space="preserve"> </w:t>
      </w:r>
      <w:r w:rsidRPr="005F6C3F">
        <w:rPr>
          <w:rFonts w:ascii="var(--nova-font-family-display)" w:hAnsi="var(--nova-font-family-display)"/>
          <w:b/>
          <w:color w:val="131314"/>
        </w:rPr>
        <w:t>2010</w:t>
      </w:r>
      <w:r w:rsidRPr="005F6C3F">
        <w:rPr>
          <w:rFonts w:ascii="var(--nova-font-family-display)" w:hAnsi="var(--nova-font-family-display)"/>
          <w:color w:val="131314"/>
        </w:rPr>
        <w:t xml:space="preserve">, 38(6), 2655-2663. </w:t>
      </w:r>
    </w:p>
    <w:p w:rsidR="001334D4" w:rsidRPr="005F6C3F" w:rsidRDefault="001334D4" w:rsidP="001334D4">
      <w:pPr>
        <w:pStyle w:val="MDPI37itemize"/>
        <w:rPr>
          <w:rFonts w:ascii="var(--nova-font-family-display)" w:hAnsi="var(--nova-font-family-display)"/>
          <w:color w:val="131314"/>
        </w:rPr>
      </w:pPr>
      <w:r w:rsidRPr="005F6C3F">
        <w:rPr>
          <w:rFonts w:ascii="var(--nova-font-family-display)" w:hAnsi="var(--nova-font-family-display)"/>
          <w:color w:val="131314"/>
        </w:rPr>
        <w:t xml:space="preserve">White, K., Habib, R., Hardisty, D. J. How to SHIFT Consumer Behaviors to be More Sustainable: A Literature Review and Guiding Framework. </w:t>
      </w:r>
      <w:r w:rsidRPr="005F6C3F">
        <w:rPr>
          <w:rFonts w:ascii="var(--nova-font-family-display)" w:hAnsi="var(--nova-font-family-display)"/>
          <w:i/>
          <w:color w:val="131314"/>
        </w:rPr>
        <w:t>Journal of Marketing</w:t>
      </w:r>
      <w:r w:rsidRPr="005F6C3F">
        <w:rPr>
          <w:rFonts w:ascii="var(--nova-font-family-display)" w:hAnsi="var(--nova-font-family-display)"/>
          <w:color w:val="131314"/>
        </w:rPr>
        <w:t xml:space="preserve"> </w:t>
      </w:r>
      <w:r w:rsidRPr="005F6C3F">
        <w:rPr>
          <w:rFonts w:ascii="var(--nova-font-family-display)" w:hAnsi="var(--nova-font-family-display)"/>
          <w:b/>
          <w:color w:val="131314"/>
        </w:rPr>
        <w:t>2019</w:t>
      </w:r>
      <w:r w:rsidRPr="005F6C3F">
        <w:rPr>
          <w:rFonts w:ascii="var(--nova-font-family-display)" w:hAnsi="var(--nova-font-family-display)"/>
          <w:color w:val="131314"/>
        </w:rPr>
        <w:t xml:space="preserve">, </w:t>
      </w:r>
      <w:r w:rsidRPr="005F6C3F">
        <w:rPr>
          <w:rFonts w:ascii="var(--nova-font-family-display)" w:hAnsi="var(--nova-font-family-display)"/>
          <w:i/>
          <w:color w:val="131314"/>
        </w:rPr>
        <w:t>83(3)</w:t>
      </w:r>
      <w:r w:rsidRPr="005F6C3F">
        <w:rPr>
          <w:rFonts w:ascii="var(--nova-font-family-display)" w:hAnsi="var(--nova-font-family-display)"/>
          <w:color w:val="131314"/>
        </w:rPr>
        <w:t>, 22–49.</w:t>
      </w:r>
    </w:p>
    <w:p w:rsidR="001334D4" w:rsidRPr="005F6C3F" w:rsidRDefault="001334D4" w:rsidP="001334D4">
      <w:pPr>
        <w:pStyle w:val="MDPI37itemize"/>
        <w:rPr>
          <w:rFonts w:ascii="var(--nova-font-family-display)" w:hAnsi="var(--nova-font-family-display)"/>
          <w:color w:val="131314"/>
        </w:rPr>
      </w:pPr>
      <w:r w:rsidRPr="005F6C3F">
        <w:rPr>
          <w:rFonts w:ascii="var(--nova-font-family-display)" w:hAnsi="var(--nova-font-family-display)"/>
          <w:color w:val="131314"/>
        </w:rPr>
        <w:t xml:space="preserve">Wilhite, H., Ling, R. Measured Energy Savings from a More Informative Energy Bill. </w:t>
      </w:r>
      <w:r w:rsidRPr="005F6C3F">
        <w:rPr>
          <w:rFonts w:ascii="var(--nova-font-family-display)" w:hAnsi="var(--nova-font-family-display)"/>
          <w:i/>
          <w:color w:val="131314"/>
        </w:rPr>
        <w:t xml:space="preserve">Energy and Buildings </w:t>
      </w:r>
      <w:r w:rsidRPr="005F6C3F">
        <w:rPr>
          <w:rFonts w:ascii="var(--nova-font-family-display)" w:hAnsi="var(--nova-font-family-display)"/>
          <w:b/>
          <w:color w:val="131314"/>
        </w:rPr>
        <w:t>1995</w:t>
      </w:r>
      <w:r w:rsidRPr="005F6C3F">
        <w:rPr>
          <w:rFonts w:ascii="var(--nova-font-family-display)" w:hAnsi="var(--nova-font-family-display)"/>
          <w:i/>
          <w:color w:val="131314"/>
        </w:rPr>
        <w:t>,</w:t>
      </w:r>
      <w:r w:rsidRPr="005F6C3F">
        <w:rPr>
          <w:rFonts w:ascii="var(--nova-font-family-display)" w:hAnsi="var(--nova-font-family-display)"/>
          <w:color w:val="131314"/>
        </w:rPr>
        <w:t xml:space="preserve"> </w:t>
      </w:r>
      <w:r w:rsidRPr="005F6C3F">
        <w:rPr>
          <w:rFonts w:ascii="var(--nova-font-family-display)" w:hAnsi="var(--nova-font-family-display)"/>
          <w:i/>
          <w:color w:val="131314"/>
        </w:rPr>
        <w:t>22 (2)</w:t>
      </w:r>
      <w:r w:rsidRPr="005F6C3F">
        <w:rPr>
          <w:rFonts w:ascii="var(--nova-font-family-display)" w:hAnsi="var(--nova-font-family-display)"/>
          <w:color w:val="131314"/>
        </w:rPr>
        <w:t>, 145–55.</w:t>
      </w:r>
    </w:p>
    <w:p w:rsidR="001334D4" w:rsidRPr="005F6C3F" w:rsidRDefault="001334D4" w:rsidP="001334D4">
      <w:pPr>
        <w:pStyle w:val="MDPI37itemize"/>
        <w:spacing w:after="60"/>
      </w:pPr>
      <w:r w:rsidRPr="005F6C3F">
        <w:t xml:space="preserve">Wüstenhagen, R.; Wolsink, M., Bürer, M.J. Social acceptance of renewable energy innovation: An introduction to the concept. </w:t>
      </w:r>
      <w:r w:rsidRPr="005F6C3F">
        <w:rPr>
          <w:i/>
        </w:rPr>
        <w:t>Energy Policy</w:t>
      </w:r>
      <w:r w:rsidRPr="005F6C3F">
        <w:t xml:space="preserve"> </w:t>
      </w:r>
      <w:r w:rsidRPr="005F6C3F">
        <w:rPr>
          <w:b/>
          <w:bCs/>
        </w:rPr>
        <w:t>2007</w:t>
      </w:r>
      <w:r w:rsidRPr="005F6C3F">
        <w:t>, 35, 2683–2691.</w:t>
      </w:r>
    </w:p>
    <w:p w:rsidR="00D90D4E" w:rsidRPr="00D90D4E" w:rsidRDefault="00D90D4E" w:rsidP="008F1E49">
      <w:pPr>
        <w:pStyle w:val="Default"/>
        <w:rPr>
          <w:rFonts w:ascii="Times New Roman" w:hAnsi="Times New Roman" w:cs="Times New Roman"/>
          <w:b/>
          <w:iCs/>
        </w:rPr>
      </w:pPr>
    </w:p>
    <w:sectPr w:rsidR="00D90D4E" w:rsidRPr="00D90D4E">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7B7F" w:rsidRDefault="00367B7F" w:rsidP="00D94A3E">
      <w:pPr>
        <w:spacing w:after="0" w:line="240" w:lineRule="auto"/>
      </w:pPr>
      <w:r>
        <w:separator/>
      </w:r>
    </w:p>
  </w:endnote>
  <w:endnote w:type="continuationSeparator" w:id="0">
    <w:p w:rsidR="00367B7F" w:rsidRDefault="00367B7F" w:rsidP="00D94A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var(--nova-font-family-display)">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6760200"/>
      <w:docPartObj>
        <w:docPartGallery w:val="Page Numbers (Bottom of Page)"/>
        <w:docPartUnique/>
      </w:docPartObj>
    </w:sdtPr>
    <w:sdtEndPr>
      <w:rPr>
        <w:noProof/>
      </w:rPr>
    </w:sdtEndPr>
    <w:sdtContent>
      <w:p w:rsidR="00D94A3E" w:rsidRDefault="00D94A3E">
        <w:pPr>
          <w:pStyle w:val="Footer"/>
          <w:jc w:val="right"/>
        </w:pPr>
        <w:r>
          <w:fldChar w:fldCharType="begin"/>
        </w:r>
        <w:r>
          <w:instrText xml:space="preserve"> PAGE   \* MERGEFORMAT </w:instrText>
        </w:r>
        <w:r>
          <w:fldChar w:fldCharType="separate"/>
        </w:r>
        <w:r w:rsidR="00C01A2B">
          <w:rPr>
            <w:noProof/>
          </w:rPr>
          <w:t>10</w:t>
        </w:r>
        <w:r>
          <w:rPr>
            <w:noProof/>
          </w:rPr>
          <w:fldChar w:fldCharType="end"/>
        </w:r>
      </w:p>
    </w:sdtContent>
  </w:sdt>
  <w:p w:rsidR="00D94A3E" w:rsidRDefault="00D94A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7B7F" w:rsidRDefault="00367B7F" w:rsidP="00D94A3E">
      <w:pPr>
        <w:spacing w:after="0" w:line="240" w:lineRule="auto"/>
      </w:pPr>
      <w:r>
        <w:separator/>
      </w:r>
    </w:p>
  </w:footnote>
  <w:footnote w:type="continuationSeparator" w:id="0">
    <w:p w:rsidR="00367B7F" w:rsidRDefault="00367B7F" w:rsidP="00D94A3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C13D6D"/>
    <w:multiLevelType w:val="hybridMultilevel"/>
    <w:tmpl w:val="7916DB94"/>
    <w:lvl w:ilvl="0" w:tplc="6988E2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54075B53"/>
    <w:multiLevelType w:val="hybridMultilevel"/>
    <w:tmpl w:val="31CAA146"/>
    <w:lvl w:ilvl="0" w:tplc="3BC210AA">
      <w:start w:val="1"/>
      <w:numFmt w:val="decimal"/>
      <w:lvlRestart w:val="0"/>
      <w:pStyle w:val="MDPI37itemize"/>
      <w:lvlText w:val="%1."/>
      <w:lvlJc w:val="left"/>
      <w:pPr>
        <w:ind w:left="567" w:hanging="425"/>
      </w:pPr>
    </w:lvl>
    <w:lvl w:ilvl="1" w:tplc="04090019" w:tentative="1">
      <w:start w:val="1"/>
      <w:numFmt w:val="lowerLetter"/>
      <w:lvlText w:val="%2."/>
      <w:lvlJc w:val="left"/>
      <w:pPr>
        <w:ind w:left="1225" w:hanging="360"/>
      </w:pPr>
    </w:lvl>
    <w:lvl w:ilvl="2" w:tplc="0409001B" w:tentative="1">
      <w:start w:val="1"/>
      <w:numFmt w:val="lowerRoman"/>
      <w:lvlText w:val="%3."/>
      <w:lvlJc w:val="right"/>
      <w:pPr>
        <w:ind w:left="1945" w:hanging="180"/>
      </w:pPr>
    </w:lvl>
    <w:lvl w:ilvl="3" w:tplc="0409000F" w:tentative="1">
      <w:start w:val="1"/>
      <w:numFmt w:val="decimal"/>
      <w:lvlText w:val="%4."/>
      <w:lvlJc w:val="left"/>
      <w:pPr>
        <w:ind w:left="2665" w:hanging="360"/>
      </w:pPr>
    </w:lvl>
    <w:lvl w:ilvl="4" w:tplc="04090019" w:tentative="1">
      <w:start w:val="1"/>
      <w:numFmt w:val="lowerLetter"/>
      <w:lvlText w:val="%5."/>
      <w:lvlJc w:val="left"/>
      <w:pPr>
        <w:ind w:left="3385" w:hanging="360"/>
      </w:pPr>
    </w:lvl>
    <w:lvl w:ilvl="5" w:tplc="0409001B" w:tentative="1">
      <w:start w:val="1"/>
      <w:numFmt w:val="lowerRoman"/>
      <w:lvlText w:val="%6."/>
      <w:lvlJc w:val="right"/>
      <w:pPr>
        <w:ind w:left="4105" w:hanging="180"/>
      </w:pPr>
    </w:lvl>
    <w:lvl w:ilvl="6" w:tplc="0409000F" w:tentative="1">
      <w:start w:val="1"/>
      <w:numFmt w:val="decimal"/>
      <w:lvlText w:val="%7."/>
      <w:lvlJc w:val="left"/>
      <w:pPr>
        <w:ind w:left="4825" w:hanging="360"/>
      </w:pPr>
    </w:lvl>
    <w:lvl w:ilvl="7" w:tplc="04090019" w:tentative="1">
      <w:start w:val="1"/>
      <w:numFmt w:val="lowerLetter"/>
      <w:lvlText w:val="%8."/>
      <w:lvlJc w:val="left"/>
      <w:pPr>
        <w:ind w:left="5545" w:hanging="360"/>
      </w:pPr>
    </w:lvl>
    <w:lvl w:ilvl="8" w:tplc="0409001B" w:tentative="1">
      <w:start w:val="1"/>
      <w:numFmt w:val="lowerRoman"/>
      <w:lvlText w:val="%9."/>
      <w:lvlJc w:val="right"/>
      <w:pPr>
        <w:ind w:left="6265" w:hanging="180"/>
      </w:pPr>
    </w:lvl>
  </w:abstractNum>
  <w:abstractNum w:abstractNumId="2">
    <w:nsid w:val="6717322F"/>
    <w:multiLevelType w:val="hybridMultilevel"/>
    <w:tmpl w:val="2FC85F02"/>
    <w:lvl w:ilvl="0" w:tplc="BC708DA4">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38F"/>
    <w:rsid w:val="00015457"/>
    <w:rsid w:val="00031366"/>
    <w:rsid w:val="00033E90"/>
    <w:rsid w:val="00095AF5"/>
    <w:rsid w:val="000F6C8B"/>
    <w:rsid w:val="001334D4"/>
    <w:rsid w:val="001341F7"/>
    <w:rsid w:val="0013579F"/>
    <w:rsid w:val="001523D5"/>
    <w:rsid w:val="00162B09"/>
    <w:rsid w:val="001961F3"/>
    <w:rsid w:val="001A2FE8"/>
    <w:rsid w:val="001B039C"/>
    <w:rsid w:val="001C729B"/>
    <w:rsid w:val="001D2F7C"/>
    <w:rsid w:val="00257D7F"/>
    <w:rsid w:val="002814B7"/>
    <w:rsid w:val="002F5022"/>
    <w:rsid w:val="00367B7F"/>
    <w:rsid w:val="00370C85"/>
    <w:rsid w:val="003A35B2"/>
    <w:rsid w:val="003B0F6B"/>
    <w:rsid w:val="00413751"/>
    <w:rsid w:val="0047288B"/>
    <w:rsid w:val="004C4594"/>
    <w:rsid w:val="004E0D45"/>
    <w:rsid w:val="004F2996"/>
    <w:rsid w:val="005219BB"/>
    <w:rsid w:val="005B1E41"/>
    <w:rsid w:val="005B7D20"/>
    <w:rsid w:val="006203FE"/>
    <w:rsid w:val="006517ED"/>
    <w:rsid w:val="00696AE6"/>
    <w:rsid w:val="006B678B"/>
    <w:rsid w:val="006B6BD5"/>
    <w:rsid w:val="006C1F80"/>
    <w:rsid w:val="006D093F"/>
    <w:rsid w:val="006D206F"/>
    <w:rsid w:val="006D3733"/>
    <w:rsid w:val="00710CA9"/>
    <w:rsid w:val="00764819"/>
    <w:rsid w:val="00795BC9"/>
    <w:rsid w:val="007969CB"/>
    <w:rsid w:val="007A3BE4"/>
    <w:rsid w:val="007B329E"/>
    <w:rsid w:val="007E0788"/>
    <w:rsid w:val="008244C8"/>
    <w:rsid w:val="008910BB"/>
    <w:rsid w:val="008F1E49"/>
    <w:rsid w:val="008F7856"/>
    <w:rsid w:val="009A3D98"/>
    <w:rsid w:val="00A34961"/>
    <w:rsid w:val="00A55A5A"/>
    <w:rsid w:val="00A941D4"/>
    <w:rsid w:val="00AA6D7C"/>
    <w:rsid w:val="00AB292E"/>
    <w:rsid w:val="00AC129C"/>
    <w:rsid w:val="00AE7D97"/>
    <w:rsid w:val="00B302F8"/>
    <w:rsid w:val="00B9008E"/>
    <w:rsid w:val="00BC2EBF"/>
    <w:rsid w:val="00BC614D"/>
    <w:rsid w:val="00C01A2B"/>
    <w:rsid w:val="00C02025"/>
    <w:rsid w:val="00C1590C"/>
    <w:rsid w:val="00C6238F"/>
    <w:rsid w:val="00CF5B94"/>
    <w:rsid w:val="00D808EC"/>
    <w:rsid w:val="00D90D4E"/>
    <w:rsid w:val="00D94A3E"/>
    <w:rsid w:val="00DA751A"/>
    <w:rsid w:val="00E24BA8"/>
    <w:rsid w:val="00ED0003"/>
    <w:rsid w:val="00F57CF6"/>
    <w:rsid w:val="00F7337C"/>
    <w:rsid w:val="00FA43F0"/>
    <w:rsid w:val="00FD1C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B140CC-59B9-465A-80B4-8570EB84C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F1E49"/>
    <w:pPr>
      <w:autoSpaceDE w:val="0"/>
      <w:autoSpaceDN w:val="0"/>
      <w:adjustRightInd w:val="0"/>
      <w:spacing w:after="0" w:line="240" w:lineRule="auto"/>
    </w:pPr>
    <w:rPr>
      <w:rFonts w:ascii="Cambria" w:hAnsi="Cambria" w:cs="Cambria"/>
      <w:color w:val="000000"/>
      <w:sz w:val="24"/>
      <w:szCs w:val="24"/>
    </w:rPr>
  </w:style>
  <w:style w:type="paragraph" w:styleId="ListParagraph">
    <w:name w:val="List Paragraph"/>
    <w:basedOn w:val="Normal"/>
    <w:uiPriority w:val="34"/>
    <w:qFormat/>
    <w:rsid w:val="00B302F8"/>
    <w:pPr>
      <w:ind w:left="720"/>
      <w:contextualSpacing/>
    </w:pPr>
  </w:style>
  <w:style w:type="paragraph" w:customStyle="1" w:styleId="MDPI31text">
    <w:name w:val="MDPI_3.1_text"/>
    <w:qFormat/>
    <w:rsid w:val="00B302F8"/>
    <w:pPr>
      <w:adjustRightInd w:val="0"/>
      <w:snapToGrid w:val="0"/>
      <w:spacing w:after="0" w:line="228" w:lineRule="auto"/>
      <w:ind w:left="2608" w:firstLine="425"/>
      <w:jc w:val="both"/>
    </w:pPr>
    <w:rPr>
      <w:rFonts w:ascii="Palatino Linotype" w:eastAsia="Times New Roman" w:hAnsi="Palatino Linotype" w:cs="Times New Roman"/>
      <w:snapToGrid w:val="0"/>
      <w:color w:val="000000"/>
      <w:kern w:val="2"/>
      <w:sz w:val="20"/>
      <w:lang w:eastAsia="de-DE" w:bidi="en-US"/>
      <w14:ligatures w14:val="standardContextual"/>
    </w:rPr>
  </w:style>
  <w:style w:type="paragraph" w:styleId="Header">
    <w:name w:val="header"/>
    <w:basedOn w:val="Normal"/>
    <w:link w:val="HeaderChar"/>
    <w:uiPriority w:val="99"/>
    <w:unhideWhenUsed/>
    <w:rsid w:val="00D94A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4A3E"/>
  </w:style>
  <w:style w:type="paragraph" w:styleId="Footer">
    <w:name w:val="footer"/>
    <w:basedOn w:val="Normal"/>
    <w:link w:val="FooterChar"/>
    <w:uiPriority w:val="99"/>
    <w:unhideWhenUsed/>
    <w:rsid w:val="00D94A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4A3E"/>
  </w:style>
  <w:style w:type="paragraph" w:customStyle="1" w:styleId="MDPI51figurecaption">
    <w:name w:val="MDPI_5.1_figure_caption"/>
    <w:qFormat/>
    <w:rsid w:val="008F7856"/>
    <w:pPr>
      <w:adjustRightInd w:val="0"/>
      <w:snapToGrid w:val="0"/>
      <w:spacing w:before="120" w:after="240" w:line="228" w:lineRule="auto"/>
      <w:ind w:left="2608"/>
    </w:pPr>
    <w:rPr>
      <w:rFonts w:ascii="Palatino Linotype" w:eastAsia="Times New Roman" w:hAnsi="Palatino Linotype" w:cs="Times New Roman"/>
      <w:color w:val="000000"/>
      <w:kern w:val="2"/>
      <w:sz w:val="18"/>
      <w:szCs w:val="20"/>
      <w:lang w:eastAsia="de-DE" w:bidi="en-US"/>
      <w14:ligatures w14:val="standardContextual"/>
    </w:rPr>
  </w:style>
  <w:style w:type="character" w:styleId="Hyperlink">
    <w:name w:val="Hyperlink"/>
    <w:basedOn w:val="DefaultParagraphFont"/>
    <w:uiPriority w:val="99"/>
    <w:unhideWhenUsed/>
    <w:rsid w:val="001334D4"/>
    <w:rPr>
      <w:color w:val="0563C1" w:themeColor="hyperlink"/>
      <w:u w:val="single"/>
    </w:rPr>
  </w:style>
  <w:style w:type="character" w:customStyle="1" w:styleId="anchor-text">
    <w:name w:val="anchor-text"/>
    <w:basedOn w:val="DefaultParagraphFont"/>
    <w:rsid w:val="001334D4"/>
  </w:style>
  <w:style w:type="paragraph" w:customStyle="1" w:styleId="MDPI21heading1">
    <w:name w:val="MDPI_2.1_heading1"/>
    <w:qFormat/>
    <w:rsid w:val="001334D4"/>
    <w:pPr>
      <w:adjustRightInd w:val="0"/>
      <w:snapToGrid w:val="0"/>
      <w:spacing w:before="240" w:after="60" w:line="228" w:lineRule="auto"/>
      <w:ind w:left="2608"/>
      <w:outlineLvl w:val="0"/>
    </w:pPr>
    <w:rPr>
      <w:rFonts w:ascii="Palatino Linotype" w:eastAsia="Times New Roman" w:hAnsi="Palatino Linotype" w:cs="Times New Roman"/>
      <w:b/>
      <w:snapToGrid w:val="0"/>
      <w:color w:val="000000"/>
      <w:kern w:val="2"/>
      <w:sz w:val="20"/>
      <w:lang w:eastAsia="de-DE" w:bidi="en-US"/>
      <w14:ligatures w14:val="standardContextual"/>
    </w:rPr>
  </w:style>
  <w:style w:type="paragraph" w:customStyle="1" w:styleId="MDPI37itemize">
    <w:name w:val="MDPI_3.7_itemize"/>
    <w:qFormat/>
    <w:rsid w:val="001334D4"/>
    <w:pPr>
      <w:numPr>
        <w:numId w:val="2"/>
      </w:numPr>
      <w:adjustRightInd w:val="0"/>
      <w:snapToGrid w:val="0"/>
      <w:spacing w:after="0" w:line="228" w:lineRule="auto"/>
      <w:jc w:val="both"/>
    </w:pPr>
    <w:rPr>
      <w:rFonts w:ascii="Palatino Linotype" w:eastAsia="Times New Roman" w:hAnsi="Palatino Linotype" w:cs="Times New Roman"/>
      <w:color w:val="000000"/>
      <w:kern w:val="2"/>
      <w:sz w:val="20"/>
      <w:lang w:eastAsia="de-DE" w:bidi="en-US"/>
      <w14:ligatures w14:val="standardContextual"/>
    </w:rPr>
  </w:style>
  <w:style w:type="character" w:styleId="Emphasis">
    <w:name w:val="Emphasis"/>
    <w:basedOn w:val="DefaultParagraphFont"/>
    <w:uiPriority w:val="20"/>
    <w:qFormat/>
    <w:rsid w:val="001334D4"/>
    <w:rPr>
      <w:i/>
      <w:iCs/>
    </w:rPr>
  </w:style>
  <w:style w:type="paragraph" w:customStyle="1" w:styleId="MDPI41tablecaption">
    <w:name w:val="MDPI_4.1_table_caption"/>
    <w:qFormat/>
    <w:rsid w:val="006D093F"/>
    <w:pPr>
      <w:adjustRightInd w:val="0"/>
      <w:snapToGrid w:val="0"/>
      <w:spacing w:before="240" w:after="120" w:line="228" w:lineRule="auto"/>
      <w:ind w:left="2608"/>
    </w:pPr>
    <w:rPr>
      <w:rFonts w:ascii="Palatino Linotype" w:eastAsia="Times New Roman" w:hAnsi="Palatino Linotype"/>
      <w:color w:val="000000"/>
      <w:kern w:val="2"/>
      <w:sz w:val="18"/>
      <w:lang w:eastAsia="de-DE" w:bidi="en-US"/>
      <w14:ligatures w14:val="standardContextual"/>
    </w:rPr>
  </w:style>
  <w:style w:type="paragraph" w:customStyle="1" w:styleId="MDPI13authornames">
    <w:name w:val="MDPI_1.3_authornames"/>
    <w:next w:val="Normal"/>
    <w:qFormat/>
    <w:rsid w:val="00C01A2B"/>
    <w:pPr>
      <w:adjustRightInd w:val="0"/>
      <w:snapToGrid w:val="0"/>
      <w:spacing w:after="360" w:line="260" w:lineRule="atLeast"/>
    </w:pPr>
    <w:rPr>
      <w:rFonts w:ascii="Palatino Linotype" w:eastAsia="Times New Roman" w:hAnsi="Palatino Linotype" w:cs="Times New Roman"/>
      <w:b/>
      <w:color w:val="000000"/>
      <w:kern w:val="2"/>
      <w:sz w:val="20"/>
      <w:lang w:eastAsia="de-DE" w:bidi="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sciencedirect.com/journal/energy-for-sustainable-development/vol/76/suppl/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120</TotalTime>
  <Pages>10</Pages>
  <Words>4106</Words>
  <Characters>23406</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65</cp:revision>
  <dcterms:created xsi:type="dcterms:W3CDTF">2023-10-31T18:13:00Z</dcterms:created>
  <dcterms:modified xsi:type="dcterms:W3CDTF">2023-11-02T07:41:00Z</dcterms:modified>
</cp:coreProperties>
</file>