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0E" w:rsidRDefault="00B6500E"/>
    <w:p w:rsidR="001A41A3" w:rsidRDefault="001A41A3" w:rsidP="001A41A3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Obstacolele care stau în calea adoptării sistemelor tehnologice integrate </w:t>
      </w:r>
    </w:p>
    <w:p w:rsidR="009D5B32" w:rsidRPr="00F254AD" w:rsidRDefault="001A41A3" w:rsidP="001A41A3">
      <w:pPr>
        <w:jc w:val="center"/>
        <w:rPr>
          <w:b/>
          <w:lang w:val="ro-RO"/>
        </w:rPr>
      </w:pPr>
      <w:proofErr w:type="gramStart"/>
      <w:r w:rsidRPr="001A41A3">
        <w:rPr>
          <w:rFonts w:ascii="Times New Roman" w:hAnsi="Times New Roman" w:cs="Times New Roman"/>
          <w:b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1A41A3">
        <w:rPr>
          <w:rFonts w:ascii="Times New Roman" w:hAnsi="Times New Roman" w:cs="Times New Roman"/>
          <w:b/>
          <w:sz w:val="24"/>
          <w:szCs w:val="24"/>
          <w:lang w:val="en-GB"/>
        </w:rPr>
        <w:t>zate</w:t>
      </w:r>
      <w:proofErr w:type="gramEnd"/>
      <w:r w:rsidRPr="001A41A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 pompe de căldură</w:t>
      </w:r>
      <w:r w:rsidR="00F254AD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F254AD">
        <w:rPr>
          <w:rFonts w:ascii="Times New Roman" w:hAnsi="Times New Roman" w:cs="Times New Roman"/>
          <w:b/>
          <w:sz w:val="24"/>
          <w:szCs w:val="24"/>
          <w:lang w:val="ro-RO"/>
        </w:rPr>
        <w:t>în vederea creșterii eficienței energetice și a reducerii amprenetei de carbon</w:t>
      </w:r>
    </w:p>
    <w:p w:rsidR="009D5B32" w:rsidRDefault="009D5B32"/>
    <w:p w:rsidR="009D5B32" w:rsidRPr="00FA700E" w:rsidRDefault="009D5B32" w:rsidP="009D5B32">
      <w:pPr>
        <w:spacing w:after="0" w:line="240" w:lineRule="auto"/>
        <w:jc w:val="center"/>
        <w:rPr>
          <w:rFonts w:ascii="Times New Roman" w:hAnsi="Times New Roman" w:cs="Times New Roman"/>
          <w:lang w:val="en-GB"/>
        </w:rPr>
      </w:pPr>
      <w:r w:rsidRPr="00FA700E">
        <w:rPr>
          <w:rFonts w:ascii="Times New Roman" w:hAnsi="Times New Roman" w:cs="Times New Roman"/>
          <w:lang w:val="en-GB"/>
        </w:rPr>
        <w:t xml:space="preserve">Carmen PĂUNESCU, </w:t>
      </w:r>
      <w:r w:rsidRPr="00FA700E">
        <w:rPr>
          <w:rFonts w:ascii="Times New Roman" w:hAnsi="Times New Roman" w:cs="Times New Roman"/>
        </w:rPr>
        <w:t xml:space="preserve">Violeta-Mihaela DINCĂ, </w:t>
      </w:r>
      <w:r w:rsidRPr="00FA700E">
        <w:rPr>
          <w:rFonts w:ascii="Times New Roman" w:hAnsi="Times New Roman" w:cs="Times New Roman"/>
          <w:lang w:val="en-GB"/>
        </w:rPr>
        <w:t xml:space="preserve">Anca BOGDAN, </w:t>
      </w:r>
      <w:r w:rsidRPr="00FA700E">
        <w:rPr>
          <w:rFonts w:ascii="Times New Roman" w:hAnsi="Times New Roman" w:cs="Times New Roman"/>
          <w:lang w:val="fr-FR"/>
        </w:rPr>
        <w:t xml:space="preserve">Simona I. GOIA, </w:t>
      </w:r>
      <w:r w:rsidRPr="00FA700E">
        <w:rPr>
          <w:rFonts w:ascii="Times New Roman" w:hAnsi="Times New Roman" w:cs="Times New Roman"/>
          <w:lang w:val="en-GB"/>
        </w:rPr>
        <w:t>Stere STAMULE, Tănase STAMULE, Adrian TANȚĂU</w:t>
      </w:r>
    </w:p>
    <w:p w:rsidR="00FA700E" w:rsidRPr="009D5B32" w:rsidRDefault="00FA700E" w:rsidP="009D5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val="en-GB"/>
        </w:rPr>
      </w:pPr>
    </w:p>
    <w:p w:rsidR="009D5B32" w:rsidRPr="00FA700E" w:rsidRDefault="009D5B32" w:rsidP="009D5B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FA700E">
        <w:rPr>
          <w:rFonts w:ascii="Times New Roman" w:hAnsi="Times New Roman" w:cs="Times New Roman"/>
          <w:sz w:val="24"/>
          <w:szCs w:val="24"/>
          <w:lang w:val="en-GB"/>
        </w:rPr>
        <w:t>Academia de Studii Economice București, Romania</w:t>
      </w:r>
    </w:p>
    <w:p w:rsidR="009D5B32" w:rsidRDefault="009D5B32" w:rsidP="009D5B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:rsidR="009D5B32" w:rsidRDefault="009D5B32" w:rsidP="008D376B">
      <w:pPr>
        <w:tabs>
          <w:tab w:val="left" w:pos="50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D4F61" w:rsidRDefault="00AD4F61" w:rsidP="009D5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D4F61" w:rsidRPr="00AD4F61" w:rsidRDefault="00AD4F61" w:rsidP="00AD4F6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AD4F61">
        <w:rPr>
          <w:rFonts w:ascii="Times New Roman" w:hAnsi="Times New Roman" w:cs="Times New Roman"/>
          <w:b/>
          <w:sz w:val="24"/>
          <w:szCs w:val="24"/>
          <w:lang w:val="en-GB"/>
        </w:rPr>
        <w:t>Eficiența energetică în literatura de specialitate</w:t>
      </w:r>
      <w:r w:rsidR="00150013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în contextual </w:t>
      </w:r>
      <w:r w:rsidR="00B53E63">
        <w:rPr>
          <w:rFonts w:ascii="Times New Roman" w:hAnsi="Times New Roman" w:cs="Times New Roman"/>
          <w:b/>
          <w:sz w:val="24"/>
          <w:szCs w:val="24"/>
          <w:lang w:val="en-GB"/>
        </w:rPr>
        <w:t>promovării</w:t>
      </w:r>
      <w:r w:rsidR="00150013">
        <w:rPr>
          <w:rFonts w:ascii="Times New Roman" w:hAnsi="Times New Roman" w:cs="Times New Roman"/>
          <w:b/>
          <w:sz w:val="24"/>
          <w:szCs w:val="24"/>
          <w:lang w:val="en-GB"/>
        </w:rPr>
        <w:t xml:space="preserve"> pompelor de căldură</w:t>
      </w:r>
    </w:p>
    <w:p w:rsidR="00AD4F61" w:rsidRPr="00AD4F61" w:rsidRDefault="00AD4F61" w:rsidP="00AD4F6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D4F61" w:rsidRDefault="00AD4F61" w:rsidP="009D5B3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AD4F61" w:rsidRDefault="00AD4F61" w:rsidP="00AD4F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AD4F61">
        <w:rPr>
          <w:rFonts w:ascii="Times New Roman" w:hAnsi="Times New Roman" w:cs="Times New Roman"/>
          <w:sz w:val="24"/>
          <w:szCs w:val="24"/>
          <w:lang w:val="en-GB"/>
        </w:rPr>
        <w:t xml:space="preserve">Nevoile stringente globale de a proteja mediul, de </w:t>
      </w:r>
      <w:proofErr w:type="gramStart"/>
      <w:r w:rsidRPr="00AD4F61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AD4F61">
        <w:rPr>
          <w:rFonts w:ascii="Times New Roman" w:hAnsi="Times New Roman" w:cs="Times New Roman"/>
          <w:sz w:val="24"/>
          <w:szCs w:val="24"/>
          <w:lang w:val="en-GB"/>
        </w:rPr>
        <w:t xml:space="preserve"> economisi energie și de a reduce emisiile de gaze cu efect de seră au determinat sectorul rezidențial să implementeze atât măsuri individuale de economisire, cât și o abordare mai sistematică pentru îmbunătățirea performanței energetice generale a zonelor rezidențiale.</w:t>
      </w:r>
    </w:p>
    <w:p w:rsidR="00AD4F61" w:rsidRPr="009D5B32" w:rsidRDefault="00AD4F61" w:rsidP="00AD4F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În acest context această cercetare caută</w:t>
      </w:r>
      <w:r w:rsidRPr="00AD4F61">
        <w:rPr>
          <w:rFonts w:ascii="Times New Roman" w:hAnsi="Times New Roman" w:cs="Times New Roman"/>
          <w:sz w:val="24"/>
          <w:szCs w:val="24"/>
          <w:lang w:val="en-GB"/>
        </w:rPr>
        <w:t xml:space="preserve"> să exploreze factorii determinanți și obstacolele în calea utilizării sistemelor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integrate bazate pe </w:t>
      </w:r>
      <w:r w:rsidRPr="00AD4F61">
        <w:rPr>
          <w:rFonts w:ascii="Times New Roman" w:hAnsi="Times New Roman" w:cs="Times New Roman"/>
          <w:sz w:val="24"/>
          <w:szCs w:val="24"/>
          <w:lang w:val="en-GB"/>
        </w:rPr>
        <w:t xml:space="preserve">pompe de căldură pentru încălzirea menajeră, răcirea și producerea de apă caldă în </w:t>
      </w:r>
      <w:r>
        <w:rPr>
          <w:rFonts w:ascii="Times New Roman" w:hAnsi="Times New Roman" w:cs="Times New Roman"/>
          <w:sz w:val="24"/>
          <w:szCs w:val="24"/>
          <w:lang w:val="en-GB"/>
        </w:rPr>
        <w:t>locuințe</w:t>
      </w:r>
      <w:r w:rsidRPr="00AD4F61">
        <w:rPr>
          <w:rFonts w:ascii="Times New Roman" w:hAnsi="Times New Roman" w:cs="Times New Roman"/>
          <w:sz w:val="24"/>
          <w:szCs w:val="24"/>
          <w:lang w:val="en-GB"/>
        </w:rPr>
        <w:t>, pentru a le îmbunătăți performanța energetică și a reduce amprenta de carbon.</w:t>
      </w:r>
    </w:p>
    <w:p w:rsidR="009D5B32" w:rsidRDefault="00903D42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03D42">
        <w:rPr>
          <w:rFonts w:ascii="Times New Roman" w:hAnsi="Times New Roman" w:cs="Times New Roman"/>
          <w:sz w:val="24"/>
          <w:szCs w:val="24"/>
          <w:lang w:val="en-GB"/>
        </w:rPr>
        <w:t xml:space="preserve">Tendința care se observă pe piața energiei </w:t>
      </w:r>
      <w:proofErr w:type="gramStart"/>
      <w:r w:rsidRPr="00903D42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 w:rsidRPr="00903D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reliefată de </w:t>
      </w:r>
      <w:r w:rsidRPr="00903D42">
        <w:rPr>
          <w:rFonts w:ascii="Times New Roman" w:hAnsi="Times New Roman" w:cs="Times New Roman"/>
          <w:sz w:val="24"/>
          <w:szCs w:val="24"/>
          <w:lang w:val="en-GB"/>
        </w:rPr>
        <w:t xml:space="preserve">concentrarea </w:t>
      </w:r>
      <w:r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3603A5">
        <w:rPr>
          <w:rFonts w:ascii="Times New Roman" w:hAnsi="Times New Roman" w:cs="Times New Roman"/>
          <w:sz w:val="24"/>
          <w:szCs w:val="24"/>
          <w:lang w:val="en-GB"/>
        </w:rPr>
        <w:t>c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torilor asupra creșterii </w:t>
      </w:r>
      <w:r w:rsidRPr="00903D42">
        <w:rPr>
          <w:rFonts w:ascii="Times New Roman" w:hAnsi="Times New Roman" w:cs="Times New Roman"/>
          <w:sz w:val="24"/>
          <w:szCs w:val="24"/>
          <w:lang w:val="en-GB"/>
        </w:rPr>
        <w:t>eficienț</w:t>
      </w:r>
      <w:r>
        <w:rPr>
          <w:rFonts w:ascii="Times New Roman" w:hAnsi="Times New Roman" w:cs="Times New Roman"/>
          <w:sz w:val="24"/>
          <w:szCs w:val="24"/>
          <w:lang w:val="en-GB"/>
        </w:rPr>
        <w:t>ei</w:t>
      </w:r>
      <w:r w:rsidRPr="00903D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energetice</w:t>
      </w:r>
      <w:r w:rsidRPr="00903D42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1314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21314D" w:rsidRPr="0021314D">
        <w:rPr>
          <w:rFonts w:ascii="Times New Roman" w:hAnsi="Times New Roman" w:cs="Times New Roman"/>
          <w:sz w:val="24"/>
          <w:szCs w:val="24"/>
          <w:lang w:val="en-GB"/>
        </w:rPr>
        <w:t xml:space="preserve">Utilizarea tehnologiilor și practicilor eficiente din punct de vedere energetic se răspândește pe scară largă pe măsură </w:t>
      </w:r>
      <w:proofErr w:type="gramStart"/>
      <w:r w:rsidR="0021314D" w:rsidRPr="0021314D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gramEnd"/>
      <w:r w:rsidR="0021314D" w:rsidRPr="0021314D">
        <w:rPr>
          <w:rFonts w:ascii="Times New Roman" w:hAnsi="Times New Roman" w:cs="Times New Roman"/>
          <w:sz w:val="24"/>
          <w:szCs w:val="24"/>
          <w:lang w:val="en-GB"/>
        </w:rPr>
        <w:t xml:space="preserve"> întreprinderile și persoanele fizice încearcă să-și reducă consumul și costurile energ</w:t>
      </w:r>
      <w:r w:rsidR="0021314D">
        <w:rPr>
          <w:rFonts w:ascii="Times New Roman" w:hAnsi="Times New Roman" w:cs="Times New Roman"/>
          <w:sz w:val="24"/>
          <w:szCs w:val="24"/>
          <w:lang w:val="en-GB"/>
        </w:rPr>
        <w:t>etice</w:t>
      </w:r>
      <w:r w:rsidR="0021314D" w:rsidRPr="0021314D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21314D" w:rsidRDefault="00782A08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82A08">
        <w:rPr>
          <w:rFonts w:ascii="Times New Roman" w:hAnsi="Times New Roman" w:cs="Times New Roman"/>
          <w:sz w:val="24"/>
          <w:szCs w:val="24"/>
          <w:lang w:val="en-GB"/>
        </w:rPr>
        <w:t>Măsurile de eficiență energetică nu numai că reduc emisiile de carbon, ci oferă și economii semnificative de costuri pentru întreprinderi, gospodării și rezidenți.</w:t>
      </w:r>
    </w:p>
    <w:p w:rsidR="00782A08" w:rsidRDefault="006C14A3" w:rsidP="00F142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C14A3">
        <w:rPr>
          <w:rFonts w:ascii="Times New Roman" w:hAnsi="Times New Roman" w:cs="Times New Roman"/>
          <w:sz w:val="24"/>
          <w:szCs w:val="24"/>
          <w:lang w:val="en-GB"/>
        </w:rPr>
        <w:t xml:space="preserve">Electrificarea încălzirii și răcirii clădirilor rezidențiale și comerciale </w:t>
      </w:r>
      <w:proofErr w:type="gramStart"/>
      <w:r w:rsidRPr="006C14A3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 w:rsidRPr="006C14A3">
        <w:rPr>
          <w:rFonts w:ascii="Times New Roman" w:hAnsi="Times New Roman" w:cs="Times New Roman"/>
          <w:sz w:val="24"/>
          <w:szCs w:val="24"/>
          <w:lang w:val="en-GB"/>
        </w:rPr>
        <w:t xml:space="preserve"> una dintre soluțiile cheie în îmbunătățirea eficienței energetice și scăderea emisiilor de gaze cu efect de seră (Moghaddam </w:t>
      </w:r>
      <w:r w:rsidR="00117EC0">
        <w:rPr>
          <w:rFonts w:ascii="Times New Roman" w:hAnsi="Times New Roman" w:cs="Times New Roman"/>
          <w:sz w:val="24"/>
          <w:szCs w:val="24"/>
          <w:lang w:val="en-GB"/>
        </w:rPr>
        <w:t>ș.a</w:t>
      </w:r>
      <w:r w:rsidRPr="006C14A3">
        <w:rPr>
          <w:rFonts w:ascii="Times New Roman" w:hAnsi="Times New Roman" w:cs="Times New Roman"/>
          <w:sz w:val="24"/>
          <w:szCs w:val="24"/>
          <w:lang w:val="en-GB"/>
        </w:rPr>
        <w:t>., 2016).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Sistemele integrate bazate pe pompe de căldură pot juca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rol cheie în </w:t>
      </w: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acest process</w:t>
      </w:r>
      <w:r w:rsidR="00901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0107D" w:rsidRPr="00B23F09">
        <w:rPr>
          <w:rFonts w:ascii="Cambria" w:hAnsi="Cambria"/>
          <w:sz w:val="24"/>
          <w:szCs w:val="24"/>
          <w:lang w:val="en-GB" w:eastAsia="ro-RO"/>
        </w:rPr>
        <w:t>(</w:t>
      </w:r>
      <w:hyperlink r:id="rId7" w:history="1">
        <w:r w:rsidR="0090107D" w:rsidRPr="00B23F09">
          <w:rPr>
            <w:rFonts w:ascii="Cambria" w:hAnsi="Cambria"/>
            <w:sz w:val="24"/>
            <w:szCs w:val="24"/>
            <w:lang w:val="en-GB" w:eastAsia="ro-RO"/>
          </w:rPr>
          <w:t>Janhunen</w:t>
        </w:r>
      </w:hyperlink>
      <w:r w:rsidR="0090107D" w:rsidRPr="00B23F09">
        <w:rPr>
          <w:rFonts w:ascii="Cambria" w:hAnsi="Cambria"/>
          <w:sz w:val="24"/>
          <w:szCs w:val="24"/>
          <w:lang w:val="en-GB" w:eastAsia="ro-RO"/>
        </w:rPr>
        <w:t xml:space="preserve"> </w:t>
      </w:r>
      <w:r w:rsidR="00117EC0">
        <w:rPr>
          <w:rFonts w:ascii="Cambria" w:hAnsi="Cambria"/>
          <w:i/>
          <w:iCs/>
          <w:sz w:val="24"/>
          <w:szCs w:val="24"/>
          <w:lang w:val="en-GB" w:eastAsia="ro-RO"/>
        </w:rPr>
        <w:t>ș.a</w:t>
      </w:r>
      <w:r w:rsidR="0090107D" w:rsidRPr="00B23F09">
        <w:rPr>
          <w:rFonts w:ascii="Cambria" w:hAnsi="Cambria"/>
          <w:i/>
          <w:iCs/>
          <w:sz w:val="24"/>
          <w:szCs w:val="24"/>
          <w:lang w:val="en-GB" w:eastAsia="ro-RO"/>
        </w:rPr>
        <w:t>.</w:t>
      </w:r>
      <w:r w:rsidR="0090107D" w:rsidRPr="00B23F09">
        <w:rPr>
          <w:rFonts w:ascii="Cambria" w:hAnsi="Cambria"/>
          <w:sz w:val="24"/>
          <w:szCs w:val="24"/>
          <w:lang w:val="en-GB" w:eastAsia="ro-RO"/>
        </w:rPr>
        <w:t>, 2022)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 xml:space="preserve">Deși beneficiile și aplicațiile pompelor de căldură sunt bine stabilite, tehnologia nu a fost adoptată 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>pe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 xml:space="preserve"> scară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 xml:space="preserve"> largă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 xml:space="preserve">, limitând astfel înțelegerea potențialului 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 xml:space="preserve">reducerii 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>consum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>ului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 xml:space="preserve"> de energie și reduceri de emisii, sau alte beneficii 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 xml:space="preserve">de care pot beneficia 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 xml:space="preserve"> rezidenți</w:t>
      </w:r>
      <w:r w:rsidR="00E86457">
        <w:rPr>
          <w:rFonts w:ascii="Times New Roman" w:hAnsi="Times New Roman" w:cs="Times New Roman"/>
          <w:sz w:val="24"/>
          <w:szCs w:val="24"/>
          <w:lang w:val="en-GB"/>
        </w:rPr>
        <w:t>i</w:t>
      </w:r>
      <w:r w:rsidR="00E86457" w:rsidRPr="00E86457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6C14A3" w:rsidRPr="00776927" w:rsidRDefault="000F0EDB" w:rsidP="00F142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Tehnologia pompelor de căldură oferă o cale către reducerea utilizării combustibililor fosili pentru încălzirea locuințelor, reducerea facturilor la energie și reducerea poluării aerului și </w:t>
      </w:r>
      <w:proofErr w:type="gramStart"/>
      <w:r w:rsidRPr="00776927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 emisiilor de gaze cu efect de seră</w:t>
      </w:r>
      <w:r w:rsidR="00117EC0"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7EC0" w:rsidRPr="00776927">
        <w:rPr>
          <w:rFonts w:ascii="Times New Roman" w:hAnsi="Times New Roman" w:cs="Times New Roman"/>
          <w:sz w:val="24"/>
          <w:szCs w:val="24"/>
          <w:lang w:val="en-GB" w:eastAsia="ro-RO"/>
        </w:rPr>
        <w:t>(</w:t>
      </w:r>
      <w:hyperlink r:id="rId8" w:history="1">
        <w:r w:rsidR="00117EC0" w:rsidRPr="00776927">
          <w:rPr>
            <w:rFonts w:ascii="Times New Roman" w:hAnsi="Times New Roman" w:cs="Times New Roman"/>
            <w:sz w:val="24"/>
            <w:szCs w:val="24"/>
            <w:lang w:val="en-GB" w:eastAsia="ro-RO"/>
          </w:rPr>
          <w:t xml:space="preserve">Gradziuk </w:t>
        </w:r>
      </w:hyperlink>
      <w:r w:rsidR="00117EC0" w:rsidRPr="00776927">
        <w:rPr>
          <w:rFonts w:ascii="Times New Roman" w:hAnsi="Times New Roman" w:cs="Times New Roman"/>
          <w:i/>
          <w:iCs/>
          <w:sz w:val="24"/>
          <w:szCs w:val="24"/>
          <w:lang w:val="en-GB" w:eastAsia="ro-RO"/>
        </w:rPr>
        <w:t>ș.a.</w:t>
      </w:r>
      <w:r w:rsidR="00117EC0" w:rsidRPr="00776927">
        <w:rPr>
          <w:rFonts w:ascii="Times New Roman" w:hAnsi="Times New Roman" w:cs="Times New Roman"/>
          <w:sz w:val="24"/>
          <w:szCs w:val="24"/>
          <w:lang w:val="en-GB" w:eastAsia="ro-RO"/>
        </w:rPr>
        <w:t>, 2022)</w:t>
      </w:r>
      <w:r w:rsidRPr="0077692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291291"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1666F" w:rsidRPr="00776927">
        <w:rPr>
          <w:rFonts w:ascii="Times New Roman" w:hAnsi="Times New Roman" w:cs="Times New Roman"/>
          <w:sz w:val="24"/>
          <w:szCs w:val="24"/>
          <w:lang w:val="de-DE"/>
        </w:rPr>
        <w:t xml:space="preserve">Pompele de căldură preiau cea mai mare parte a energiei dintr-o sursă de energie regenerabilă sub formă de apă, energie geotermală sau aer (Kelly </w:t>
      </w:r>
      <w:r w:rsidR="0011666F" w:rsidRPr="00776927">
        <w:rPr>
          <w:rFonts w:ascii="Times New Roman" w:hAnsi="Times New Roman" w:cs="Times New Roman"/>
          <w:i/>
          <w:iCs/>
          <w:sz w:val="24"/>
          <w:szCs w:val="24"/>
          <w:lang w:val="de-DE"/>
        </w:rPr>
        <w:t>ș.a.</w:t>
      </w:r>
      <w:r w:rsidR="0011666F" w:rsidRPr="00776927">
        <w:rPr>
          <w:rFonts w:ascii="Times New Roman" w:hAnsi="Times New Roman" w:cs="Times New Roman"/>
          <w:sz w:val="24"/>
          <w:szCs w:val="24"/>
          <w:lang w:val="de-DE"/>
        </w:rPr>
        <w:t>, 2022).</w:t>
      </w:r>
      <w:r w:rsidR="00776927" w:rsidRPr="00776927">
        <w:rPr>
          <w:rFonts w:ascii="Times New Roman" w:hAnsi="Times New Roman" w:cs="Times New Roman"/>
          <w:sz w:val="24"/>
          <w:szCs w:val="24"/>
          <w:lang w:val="de-DE"/>
        </w:rPr>
        <w:t xml:space="preserve"> Electricitatea necesară pentru acționarea pompei de căldură poate fi obținută dintr-o sursă de energie regenerabilă (panouri fotovoltaice). </w:t>
      </w:r>
    </w:p>
    <w:p w:rsidR="00291291" w:rsidRDefault="00291291" w:rsidP="00F142A4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Alegerea unui anumit sistem de încălzire în locuințe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>
        <w:rPr>
          <w:rFonts w:ascii="Times New Roman" w:hAnsi="Times New Roman" w:cs="Times New Roman"/>
          <w:sz w:val="24"/>
          <w:szCs w:val="24"/>
          <w:lang w:val="en-GB"/>
        </w:rPr>
        <w:t xml:space="preserve"> de cele mai multe ori dictat de costul acestuia.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 xml:space="preserve"> Totuși pe lângă acest factor trebuie avut în vedere faptul că p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ompele de căldură eficiente au potențialul de a reduce semnificativ emisiile de gaze cu efect de seră 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>în procesul de încălzire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 și răcire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>l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 clădirilor.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 xml:space="preserve"> Astfel, c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u 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 xml:space="preserve">toate că pompele de călduă au 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costurile inițiale 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>ridicate</w:t>
      </w:r>
      <w:r w:rsidR="008A702C" w:rsidRPr="008A702C">
        <w:rPr>
          <w:rFonts w:ascii="Times New Roman" w:hAnsi="Times New Roman" w:cs="Times New Roman"/>
          <w:sz w:val="24"/>
          <w:szCs w:val="24"/>
          <w:lang w:val="en-GB"/>
        </w:rPr>
        <w:t xml:space="preserve">, în timp 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>ele pot deveni o investiție profitabilă</w:t>
      </w:r>
      <w:r w:rsidR="00F142A4">
        <w:rPr>
          <w:rFonts w:ascii="Times New Roman" w:hAnsi="Times New Roman" w:cs="Times New Roman"/>
          <w:sz w:val="24"/>
          <w:szCs w:val="24"/>
          <w:lang w:val="en-GB"/>
        </w:rPr>
        <w:t xml:space="preserve"> ca urmare a noilor standarde de eficiență energetică </w:t>
      </w:r>
      <w:r w:rsidR="00F142A4" w:rsidRPr="00B23F09">
        <w:rPr>
          <w:rFonts w:ascii="Cambria" w:hAnsi="Cambria"/>
          <w:sz w:val="24"/>
          <w:szCs w:val="24"/>
          <w:lang w:val="en-GB" w:eastAsia="ro-RO"/>
        </w:rPr>
        <w:t>(</w:t>
      </w:r>
      <w:hyperlink r:id="rId9" w:history="1">
        <w:r w:rsidR="00F142A4" w:rsidRPr="00B23F09">
          <w:rPr>
            <w:rFonts w:ascii="Cambria" w:hAnsi="Cambria"/>
            <w:sz w:val="24"/>
            <w:szCs w:val="24"/>
            <w:lang w:val="en-GB" w:eastAsia="ro-RO"/>
          </w:rPr>
          <w:t>Kircher</w:t>
        </w:r>
      </w:hyperlink>
      <w:r w:rsidR="00F142A4" w:rsidRPr="00B23F09">
        <w:rPr>
          <w:rFonts w:ascii="Cambria" w:hAnsi="Cambria"/>
          <w:sz w:val="24"/>
          <w:szCs w:val="24"/>
          <w:lang w:val="en-GB" w:eastAsia="ro-RO"/>
        </w:rPr>
        <w:t xml:space="preserve"> &amp; </w:t>
      </w:r>
      <w:hyperlink r:id="rId10" w:history="1">
        <w:r w:rsidR="00F142A4" w:rsidRPr="00B23F09">
          <w:rPr>
            <w:rFonts w:ascii="Cambria" w:hAnsi="Cambria"/>
            <w:sz w:val="24"/>
            <w:szCs w:val="24"/>
            <w:lang w:val="en-GB" w:eastAsia="ro-RO"/>
          </w:rPr>
          <w:t>Zhang</w:t>
        </w:r>
      </w:hyperlink>
      <w:r w:rsidR="00F142A4">
        <w:rPr>
          <w:rFonts w:ascii="Cambria" w:hAnsi="Cambria"/>
          <w:sz w:val="24"/>
          <w:szCs w:val="24"/>
          <w:lang w:val="en-GB" w:eastAsia="ro-RO"/>
        </w:rPr>
        <w:t>, 2021)</w:t>
      </w:r>
      <w:r w:rsidR="008A702C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142A4" w:rsidRDefault="00840C2E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40C2E">
        <w:rPr>
          <w:rFonts w:ascii="Times New Roman" w:hAnsi="Times New Roman" w:cs="Times New Roman"/>
          <w:sz w:val="24"/>
          <w:szCs w:val="24"/>
          <w:lang w:val="en-GB"/>
        </w:rPr>
        <w:t xml:space="preserve">Chiar dacă prezintă avantaje pentru mediu și oferă </w:t>
      </w:r>
      <w:proofErr w:type="gramStart"/>
      <w:r w:rsidRPr="00840C2E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Pr="00840C2E">
        <w:rPr>
          <w:rFonts w:ascii="Times New Roman" w:hAnsi="Times New Roman" w:cs="Times New Roman"/>
          <w:sz w:val="24"/>
          <w:szCs w:val="24"/>
          <w:lang w:val="en-GB"/>
        </w:rPr>
        <w:t xml:space="preserve"> curs fezabil de decarbonizare a sectorului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r w:rsidRPr="00840C2E">
        <w:rPr>
          <w:rFonts w:ascii="Times New Roman" w:hAnsi="Times New Roman" w:cs="Times New Roman"/>
          <w:sz w:val="24"/>
          <w:szCs w:val="24"/>
          <w:lang w:val="en-GB"/>
        </w:rPr>
        <w:t>term</w:t>
      </w:r>
      <w:r>
        <w:rPr>
          <w:rFonts w:ascii="Times New Roman" w:hAnsi="Times New Roman" w:cs="Times New Roman"/>
          <w:sz w:val="24"/>
          <w:szCs w:val="24"/>
          <w:lang w:val="en-GB"/>
        </w:rPr>
        <w:t>oficare</w:t>
      </w:r>
      <w:r w:rsidRPr="00840C2E">
        <w:rPr>
          <w:rFonts w:ascii="Times New Roman" w:hAnsi="Times New Roman" w:cs="Times New Roman"/>
          <w:sz w:val="24"/>
          <w:szCs w:val="24"/>
          <w:lang w:val="en-GB"/>
        </w:rPr>
        <w:t xml:space="preserve">, există încă obstacole economice, administrative, structurale și de infrastructură, care pot împiedica </w:t>
      </w:r>
      <w:r>
        <w:rPr>
          <w:rFonts w:ascii="Times New Roman" w:hAnsi="Times New Roman" w:cs="Times New Roman"/>
          <w:sz w:val="24"/>
          <w:szCs w:val="24"/>
          <w:lang w:val="en-GB"/>
        </w:rPr>
        <w:t>procesul</w:t>
      </w:r>
      <w:r w:rsidRPr="00840C2E">
        <w:rPr>
          <w:rFonts w:ascii="Times New Roman" w:hAnsi="Times New Roman" w:cs="Times New Roman"/>
          <w:sz w:val="24"/>
          <w:szCs w:val="24"/>
          <w:lang w:val="en-GB"/>
        </w:rPr>
        <w:t xml:space="preserve"> de implementare 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sistemelor integrate bazate pe pompe</w:t>
      </w:r>
      <w:r w:rsidRPr="00840C2E">
        <w:rPr>
          <w:rFonts w:ascii="Times New Roman" w:hAnsi="Times New Roman" w:cs="Times New Roman"/>
          <w:sz w:val="24"/>
          <w:szCs w:val="24"/>
          <w:lang w:val="en-GB"/>
        </w:rPr>
        <w:t xml:space="preserve"> de căldură</w:t>
      </w:r>
      <w:r w:rsidR="001339D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1339DD">
        <w:rPr>
          <w:rFonts w:ascii="Cambria" w:hAnsi="Cambria"/>
          <w:sz w:val="24"/>
          <w:szCs w:val="24"/>
          <w:lang w:val="en-GB" w:eastAsia="ro-RO"/>
        </w:rPr>
        <w:t>(Sanner, 2017)</w:t>
      </w:r>
      <w:r w:rsidRPr="00840C2E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08090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:rsidR="0008090A" w:rsidRDefault="0008090A" w:rsidP="00903D42">
      <w:pPr>
        <w:spacing w:line="360" w:lineRule="auto"/>
        <w:ind w:firstLine="360"/>
        <w:jc w:val="both"/>
        <w:rPr>
          <w:rFonts w:ascii="Cambria" w:hAnsi="Cambria"/>
          <w:sz w:val="24"/>
          <w:szCs w:val="24"/>
        </w:rPr>
      </w:pPr>
      <w:r w:rsidRPr="0008090A">
        <w:rPr>
          <w:rFonts w:ascii="Times New Roman" w:hAnsi="Times New Roman" w:cs="Times New Roman"/>
          <w:sz w:val="24"/>
          <w:szCs w:val="24"/>
          <w:lang w:val="en-GB"/>
        </w:rPr>
        <w:t xml:space="preserve">În prezent, există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numeroase </w:t>
      </w:r>
      <w:r w:rsidRPr="0008090A">
        <w:rPr>
          <w:rFonts w:ascii="Times New Roman" w:hAnsi="Times New Roman" w:cs="Times New Roman"/>
          <w:sz w:val="24"/>
          <w:szCs w:val="24"/>
          <w:lang w:val="en-GB"/>
        </w:rPr>
        <w:t>cercetări care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caută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>să</w:t>
      </w:r>
      <w:proofErr w:type="gramEnd"/>
      <w:r w:rsidRPr="0008090A">
        <w:rPr>
          <w:rFonts w:ascii="Times New Roman" w:hAnsi="Times New Roman" w:cs="Times New Roman"/>
          <w:sz w:val="24"/>
          <w:szCs w:val="24"/>
          <w:lang w:val="en-GB"/>
        </w:rPr>
        <w:t xml:space="preserve"> identific</w:t>
      </w:r>
      <w:r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08090A">
        <w:rPr>
          <w:rFonts w:ascii="Times New Roman" w:hAnsi="Times New Roman" w:cs="Times New Roman"/>
          <w:sz w:val="24"/>
          <w:szCs w:val="24"/>
          <w:lang w:val="en-GB"/>
        </w:rPr>
        <w:t xml:space="preserve"> și </w:t>
      </w:r>
      <w:r>
        <w:rPr>
          <w:rFonts w:ascii="Times New Roman" w:hAnsi="Times New Roman" w:cs="Times New Roman"/>
          <w:sz w:val="24"/>
          <w:szCs w:val="24"/>
          <w:lang w:val="en-GB"/>
        </w:rPr>
        <w:t>analizeze</w:t>
      </w:r>
      <w:r w:rsidRPr="0008090A">
        <w:rPr>
          <w:rFonts w:ascii="Times New Roman" w:hAnsi="Times New Roman" w:cs="Times New Roman"/>
          <w:sz w:val="24"/>
          <w:szCs w:val="24"/>
          <w:lang w:val="en-GB"/>
        </w:rPr>
        <w:t xml:space="preserve"> diferite soluții de îmbunătățire a eficienței energetice </w:t>
      </w:r>
      <w:r>
        <w:rPr>
          <w:rFonts w:ascii="Times New Roman" w:hAnsi="Times New Roman" w:cs="Times New Roman"/>
          <w:sz w:val="24"/>
          <w:szCs w:val="24"/>
          <w:lang w:val="en-GB"/>
        </w:rPr>
        <w:t>pentru sistemele de incălzire (</w:t>
      </w:r>
      <w:r w:rsidRPr="00B23F09">
        <w:rPr>
          <w:rFonts w:ascii="Cambria" w:hAnsi="Cambria"/>
          <w:sz w:val="24"/>
          <w:szCs w:val="24"/>
        </w:rPr>
        <w:t xml:space="preserve">Sivagami &amp; Jothi Swaroopan, 2020; Smith </w:t>
      </w:r>
      <w:r>
        <w:rPr>
          <w:rFonts w:ascii="Cambria" w:hAnsi="Cambria"/>
          <w:i/>
          <w:iCs/>
          <w:sz w:val="24"/>
          <w:szCs w:val="24"/>
        </w:rPr>
        <w:t>ș.a</w:t>
      </w:r>
      <w:r w:rsidRPr="00B23F09">
        <w:rPr>
          <w:rFonts w:ascii="Cambria" w:hAnsi="Cambria"/>
          <w:i/>
          <w:iCs/>
          <w:sz w:val="24"/>
          <w:szCs w:val="24"/>
        </w:rPr>
        <w:t>.</w:t>
      </w:r>
      <w:r w:rsidRPr="00B23F09">
        <w:rPr>
          <w:rFonts w:ascii="Cambria" w:hAnsi="Cambria"/>
          <w:sz w:val="24"/>
          <w:szCs w:val="24"/>
        </w:rPr>
        <w:t>, 2021)</w:t>
      </w:r>
      <w:r>
        <w:rPr>
          <w:rFonts w:ascii="Cambria" w:hAnsi="Cambria"/>
          <w:sz w:val="24"/>
          <w:szCs w:val="24"/>
        </w:rPr>
        <w:t>.</w:t>
      </w:r>
    </w:p>
    <w:p w:rsidR="0008090A" w:rsidRDefault="00D274C4" w:rsidP="00903D42">
      <w:pPr>
        <w:spacing w:line="360" w:lineRule="auto"/>
        <w:ind w:firstLine="360"/>
        <w:jc w:val="both"/>
        <w:rPr>
          <w:rFonts w:ascii="Cambria" w:hAnsi="Cambria"/>
          <w:sz w:val="24"/>
          <w:szCs w:val="24"/>
          <w:lang w:val="en-GB"/>
        </w:rPr>
      </w:pP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În timp </w:t>
      </w:r>
      <w:proofErr w:type="gramStart"/>
      <w:r w:rsidRPr="00D274C4">
        <w:rPr>
          <w:rFonts w:ascii="Times New Roman" w:hAnsi="Times New Roman" w:cs="Times New Roman"/>
          <w:sz w:val="24"/>
          <w:szCs w:val="24"/>
          <w:lang w:val="en-GB"/>
        </w:rPr>
        <w:t>ce</w:t>
      </w:r>
      <w:proofErr w:type="gramEnd"/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îmbunătățirea eficienței energetice și a performanței clădirilor este o preocupare cheie în sectorul rezidențial, atât dezvoltatorii, cât și factorii de decizie politică sunt, de asemenea, preocupați de asigurarea și menținerea unui nivel rezonabil de confort și bunăstare în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gospodării. 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Pe lângă simpla reducere a facturii de energie a unei gospodării, eficiența energetică </w:t>
      </w:r>
      <w:r>
        <w:rPr>
          <w:rFonts w:ascii="Times New Roman" w:hAnsi="Times New Roman" w:cs="Times New Roman"/>
          <w:sz w:val="24"/>
          <w:szCs w:val="24"/>
          <w:lang w:val="en-GB"/>
        </w:rPr>
        <w:t>generează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îmbunătăți</w:t>
      </w:r>
      <w:r>
        <w:rPr>
          <w:rFonts w:ascii="Times New Roman" w:hAnsi="Times New Roman" w:cs="Times New Roman"/>
          <w:sz w:val="24"/>
          <w:szCs w:val="24"/>
          <w:lang w:val="en-GB"/>
        </w:rPr>
        <w:t>rea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stării de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sănătate </w:t>
      </w:r>
      <w:r>
        <w:rPr>
          <w:rFonts w:ascii="Times New Roman" w:hAnsi="Times New Roman" w:cs="Times New Roman"/>
          <w:sz w:val="24"/>
          <w:szCs w:val="24"/>
          <w:lang w:val="en-GB"/>
        </w:rPr>
        <w:t>a consumatorilor, creșterea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productivit</w:t>
      </w:r>
      <w:r>
        <w:rPr>
          <w:rFonts w:ascii="Times New Roman" w:hAnsi="Times New Roman" w:cs="Times New Roman"/>
          <w:sz w:val="24"/>
          <w:szCs w:val="24"/>
          <w:lang w:val="en-GB"/>
        </w:rPr>
        <w:t>ății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 xml:space="preserve"> muncii,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și a 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>securit</w:t>
      </w:r>
      <w:r>
        <w:rPr>
          <w:rFonts w:ascii="Times New Roman" w:hAnsi="Times New Roman" w:cs="Times New Roman"/>
          <w:sz w:val="24"/>
          <w:szCs w:val="24"/>
          <w:lang w:val="en-GB"/>
        </w:rPr>
        <w:t>ății energetice, precum și reducerea p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>olu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D274C4">
        <w:rPr>
          <w:rFonts w:ascii="Times New Roman" w:hAnsi="Times New Roman" w:cs="Times New Roman"/>
          <w:sz w:val="24"/>
          <w:szCs w:val="24"/>
          <w:lang w:val="en-GB"/>
        </w:rPr>
        <w:t>r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ii </w:t>
      </w:r>
      <w:r w:rsidRPr="00B23F09">
        <w:rPr>
          <w:rFonts w:ascii="Cambria" w:hAnsi="Cambria"/>
          <w:sz w:val="24"/>
          <w:szCs w:val="24"/>
          <w:lang w:val="en-GB"/>
        </w:rPr>
        <w:t xml:space="preserve">(McAndrew </w:t>
      </w:r>
      <w:r w:rsidR="00F62BD3">
        <w:rPr>
          <w:rFonts w:ascii="Cambria" w:hAnsi="Cambria"/>
          <w:i/>
          <w:iCs/>
          <w:sz w:val="24"/>
          <w:szCs w:val="24"/>
          <w:lang w:val="en-GB"/>
        </w:rPr>
        <w:t>ș.a</w:t>
      </w:r>
      <w:r w:rsidRPr="00B23F09">
        <w:rPr>
          <w:rFonts w:ascii="Cambria" w:hAnsi="Cambria"/>
          <w:i/>
          <w:iCs/>
          <w:sz w:val="24"/>
          <w:szCs w:val="24"/>
          <w:lang w:val="en-GB"/>
        </w:rPr>
        <w:t>.</w:t>
      </w:r>
      <w:r w:rsidRPr="00B23F09">
        <w:rPr>
          <w:rFonts w:ascii="Cambria" w:hAnsi="Cambria"/>
          <w:sz w:val="24"/>
          <w:szCs w:val="24"/>
          <w:lang w:val="en-GB"/>
        </w:rPr>
        <w:t>, 2021)</w:t>
      </w:r>
      <w:r>
        <w:rPr>
          <w:rFonts w:ascii="Cambria" w:hAnsi="Cambria"/>
          <w:sz w:val="24"/>
          <w:szCs w:val="24"/>
          <w:lang w:val="en-GB"/>
        </w:rPr>
        <w:t>.</w:t>
      </w:r>
    </w:p>
    <w:p w:rsidR="004C1766" w:rsidRDefault="00AE006D" w:rsidP="00903D42">
      <w:pPr>
        <w:spacing w:line="360" w:lineRule="auto"/>
        <w:ind w:firstLine="360"/>
        <w:jc w:val="both"/>
        <w:rPr>
          <w:rFonts w:ascii="Cambria" w:hAnsi="Cambria"/>
          <w:sz w:val="24"/>
          <w:szCs w:val="24"/>
          <w:lang w:val="en-GB"/>
        </w:rPr>
      </w:pPr>
      <w:r w:rsidRPr="00AE006D">
        <w:rPr>
          <w:rFonts w:ascii="Times New Roman" w:hAnsi="Times New Roman" w:cs="Times New Roman"/>
          <w:sz w:val="24"/>
          <w:szCs w:val="24"/>
          <w:lang w:val="en-GB"/>
        </w:rPr>
        <w:lastRenderedPageBreak/>
        <w:t xml:space="preserve">De asemenea, cetățenii, în special proprietarii de </w:t>
      </w:r>
      <w:r>
        <w:rPr>
          <w:rFonts w:ascii="Times New Roman" w:hAnsi="Times New Roman" w:cs="Times New Roman"/>
          <w:sz w:val="24"/>
          <w:szCs w:val="24"/>
          <w:lang w:val="en-GB"/>
        </w:rPr>
        <w:t>gospodării</w:t>
      </w:r>
      <w:r w:rsidRPr="00AE006D">
        <w:rPr>
          <w:rFonts w:ascii="Times New Roman" w:hAnsi="Times New Roman" w:cs="Times New Roman"/>
          <w:sz w:val="24"/>
          <w:szCs w:val="24"/>
          <w:lang w:val="en-GB"/>
        </w:rPr>
        <w:t>, sunt încurajați din ce în ce mai mult să</w:t>
      </w:r>
      <w:r>
        <w:rPr>
          <w:rFonts w:ascii="Times New Roman" w:hAnsi="Times New Roman" w:cs="Times New Roman"/>
          <w:sz w:val="24"/>
          <w:szCs w:val="24"/>
          <w:lang w:val="en-GB"/>
        </w:rPr>
        <w:t>-și</w:t>
      </w:r>
      <w:r w:rsidRPr="00AE006D">
        <w:rPr>
          <w:rFonts w:ascii="Times New Roman" w:hAnsi="Times New Roman" w:cs="Times New Roman"/>
          <w:sz w:val="24"/>
          <w:szCs w:val="24"/>
          <w:lang w:val="en-GB"/>
        </w:rPr>
        <w:t xml:space="preserve"> asume roluri mai </w:t>
      </w:r>
      <w:r>
        <w:rPr>
          <w:rFonts w:ascii="Times New Roman" w:hAnsi="Times New Roman" w:cs="Times New Roman"/>
          <w:sz w:val="24"/>
          <w:szCs w:val="24"/>
          <w:lang w:val="en-GB"/>
        </w:rPr>
        <w:t>active</w:t>
      </w:r>
      <w:r w:rsidRPr="00AE006D">
        <w:rPr>
          <w:rFonts w:ascii="Times New Roman" w:hAnsi="Times New Roman" w:cs="Times New Roman"/>
          <w:sz w:val="24"/>
          <w:szCs w:val="24"/>
          <w:lang w:val="en-GB"/>
        </w:rPr>
        <w:t xml:space="preserve"> în îmbunătățirea eficienței energetice,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de exemplu, </w:t>
      </w:r>
      <w:r w:rsidRPr="00AE006D">
        <w:rPr>
          <w:rFonts w:ascii="Times New Roman" w:hAnsi="Times New Roman" w:cs="Times New Roman"/>
          <w:sz w:val="24"/>
          <w:szCs w:val="24"/>
          <w:lang w:val="en-GB"/>
        </w:rPr>
        <w:t xml:space="preserve">de la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roll de </w:t>
      </w:r>
      <w:r w:rsidRPr="00AE006D">
        <w:rPr>
          <w:rFonts w:ascii="Times New Roman" w:hAnsi="Times New Roman" w:cs="Times New Roman"/>
          <w:sz w:val="24"/>
          <w:szCs w:val="24"/>
          <w:lang w:val="en-GB"/>
        </w:rPr>
        <w:t>consumator activ la aranjamente mai participative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pe piața de energie</w:t>
      </w:r>
      <w:r w:rsidR="00F62BD3">
        <w:rPr>
          <w:rFonts w:ascii="Times New Roman" w:hAnsi="Times New Roman" w:cs="Times New Roman"/>
          <w:sz w:val="24"/>
          <w:szCs w:val="24"/>
          <w:lang w:val="en-GB"/>
        </w:rPr>
        <w:t xml:space="preserve"> pentru consumatori </w:t>
      </w:r>
      <w:r w:rsidR="00F62BD3" w:rsidRPr="00B23F09">
        <w:rPr>
          <w:rFonts w:ascii="Cambria" w:hAnsi="Cambria"/>
          <w:color w:val="2E2E2E"/>
          <w:sz w:val="24"/>
          <w:szCs w:val="24"/>
        </w:rPr>
        <w:t>(</w:t>
      </w:r>
      <w:r w:rsidR="00F62BD3" w:rsidRPr="00B23F09">
        <w:rPr>
          <w:rFonts w:ascii="Cambria" w:hAnsi="Cambria"/>
          <w:sz w:val="24"/>
          <w:szCs w:val="24"/>
          <w:lang w:val="en-GB"/>
        </w:rPr>
        <w:t>Lennon</w:t>
      </w:r>
      <w:r w:rsidR="00F62BD3" w:rsidRPr="00B23F09">
        <w:rPr>
          <w:rFonts w:ascii="Cambria" w:hAnsi="Cambria"/>
          <w:i/>
          <w:iCs/>
          <w:sz w:val="24"/>
          <w:szCs w:val="24"/>
          <w:lang w:val="en-GB"/>
        </w:rPr>
        <w:t xml:space="preserve"> </w:t>
      </w:r>
      <w:r w:rsidR="00F62BD3">
        <w:rPr>
          <w:rFonts w:ascii="Cambria" w:hAnsi="Cambria"/>
          <w:i/>
          <w:iCs/>
          <w:sz w:val="24"/>
          <w:szCs w:val="24"/>
          <w:lang w:val="en-GB"/>
        </w:rPr>
        <w:t>ș.a</w:t>
      </w:r>
      <w:r w:rsidR="00F62BD3" w:rsidRPr="00B23F09">
        <w:rPr>
          <w:rFonts w:ascii="Cambria" w:hAnsi="Cambria"/>
          <w:i/>
          <w:iCs/>
          <w:sz w:val="24"/>
          <w:szCs w:val="24"/>
          <w:lang w:val="en-GB"/>
        </w:rPr>
        <w:t>.</w:t>
      </w:r>
      <w:r w:rsidR="00F62BD3" w:rsidRPr="00B23F09">
        <w:rPr>
          <w:rFonts w:ascii="Cambria" w:hAnsi="Cambria"/>
          <w:sz w:val="24"/>
          <w:szCs w:val="24"/>
          <w:lang w:val="en-GB"/>
        </w:rPr>
        <w:t>, 2023)</w:t>
      </w:r>
      <w:r w:rsidR="00F62BD3">
        <w:rPr>
          <w:rFonts w:ascii="Cambria" w:hAnsi="Cambria"/>
          <w:sz w:val="24"/>
          <w:szCs w:val="24"/>
          <w:lang w:val="en-GB"/>
        </w:rPr>
        <w:t>.</w:t>
      </w:r>
      <w:r w:rsidR="004C1766">
        <w:rPr>
          <w:rFonts w:ascii="Cambria" w:hAnsi="Cambria"/>
          <w:sz w:val="24"/>
          <w:szCs w:val="24"/>
          <w:lang w:val="en-GB"/>
        </w:rPr>
        <w:t xml:space="preserve"> Astfel</w:t>
      </w:r>
      <w:r w:rsidR="004C1766" w:rsidRPr="004C1766">
        <w:rPr>
          <w:rFonts w:ascii="Cambria" w:hAnsi="Cambria"/>
          <w:sz w:val="24"/>
          <w:szCs w:val="24"/>
          <w:lang w:val="en-GB"/>
        </w:rPr>
        <w:t xml:space="preserve">, implicarea voluntară a cetățenilor în comunitățile energetice care abordează diverse aspecte ale tranzițiilor energetice cu emisii scăzute de carbon, ajută la democratizarea și diversificarea modului în care </w:t>
      </w:r>
      <w:proofErr w:type="gramStart"/>
      <w:r w:rsidR="004C1766" w:rsidRPr="004C1766">
        <w:rPr>
          <w:rFonts w:ascii="Cambria" w:hAnsi="Cambria"/>
          <w:sz w:val="24"/>
          <w:szCs w:val="24"/>
          <w:lang w:val="en-GB"/>
        </w:rPr>
        <w:t>este</w:t>
      </w:r>
      <w:proofErr w:type="gramEnd"/>
      <w:r w:rsidR="004C1766" w:rsidRPr="004C1766">
        <w:rPr>
          <w:rFonts w:ascii="Cambria" w:hAnsi="Cambria"/>
          <w:sz w:val="24"/>
          <w:szCs w:val="24"/>
          <w:lang w:val="en-GB"/>
        </w:rPr>
        <w:t xml:space="preserve"> produsă și consumată energia</w:t>
      </w:r>
      <w:r w:rsidR="004C1766">
        <w:rPr>
          <w:rFonts w:ascii="Cambria" w:hAnsi="Cambria"/>
          <w:sz w:val="24"/>
          <w:szCs w:val="24"/>
          <w:lang w:val="en-GB"/>
        </w:rPr>
        <w:t xml:space="preserve"> </w:t>
      </w:r>
      <w:r w:rsidR="004C1766" w:rsidRPr="00B23F09">
        <w:rPr>
          <w:rFonts w:ascii="Cambria" w:hAnsi="Cambria"/>
          <w:sz w:val="24"/>
          <w:szCs w:val="24"/>
          <w:lang w:val="en-GB"/>
        </w:rPr>
        <w:t>(</w:t>
      </w:r>
      <w:r w:rsidR="004C1766" w:rsidRPr="00B23F09">
        <w:rPr>
          <w:rFonts w:ascii="Cambria" w:hAnsi="Cambria"/>
          <w:sz w:val="24"/>
          <w:szCs w:val="24"/>
        </w:rPr>
        <w:t>Dudka</w:t>
      </w:r>
      <w:r w:rsidR="004C1766" w:rsidRPr="00B23F09">
        <w:rPr>
          <w:rFonts w:ascii="Cambria" w:hAnsi="Cambria"/>
          <w:sz w:val="24"/>
          <w:szCs w:val="24"/>
          <w:lang w:val="en-GB"/>
        </w:rPr>
        <w:t xml:space="preserve"> </w:t>
      </w:r>
      <w:r w:rsidR="004C1766">
        <w:rPr>
          <w:rFonts w:ascii="Cambria" w:hAnsi="Cambria"/>
          <w:i/>
          <w:iCs/>
          <w:sz w:val="24"/>
          <w:szCs w:val="24"/>
          <w:lang w:val="en-GB"/>
        </w:rPr>
        <w:t>ș.a</w:t>
      </w:r>
      <w:r w:rsidR="004C1766" w:rsidRPr="00B23F09">
        <w:rPr>
          <w:rFonts w:ascii="Cambria" w:hAnsi="Cambria"/>
          <w:i/>
          <w:iCs/>
          <w:sz w:val="24"/>
          <w:szCs w:val="24"/>
          <w:lang w:val="en-GB"/>
        </w:rPr>
        <w:t>.</w:t>
      </w:r>
      <w:r w:rsidR="004C1766" w:rsidRPr="00B23F09">
        <w:rPr>
          <w:rFonts w:ascii="Cambria" w:hAnsi="Cambria"/>
          <w:sz w:val="24"/>
          <w:szCs w:val="24"/>
          <w:lang w:val="en-GB"/>
        </w:rPr>
        <w:t>, 2023)</w:t>
      </w:r>
      <w:r w:rsidR="004C1766" w:rsidRPr="004C1766">
        <w:rPr>
          <w:rFonts w:ascii="Cambria" w:hAnsi="Cambria"/>
          <w:sz w:val="24"/>
          <w:szCs w:val="24"/>
          <w:lang w:val="en-GB"/>
        </w:rPr>
        <w:t>.</w:t>
      </w:r>
    </w:p>
    <w:p w:rsidR="00F62BD3" w:rsidRPr="001A41A3" w:rsidRDefault="00B53E63" w:rsidP="00B53E63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1A41A3">
        <w:rPr>
          <w:rFonts w:ascii="Times New Roman" w:hAnsi="Times New Roman" w:cs="Times New Roman"/>
          <w:b/>
          <w:sz w:val="24"/>
          <w:szCs w:val="24"/>
          <w:lang w:val="en-GB"/>
        </w:rPr>
        <w:t>Metodologia cercetării</w:t>
      </w:r>
    </w:p>
    <w:p w:rsidR="00B53E63" w:rsidRPr="00B53E63" w:rsidRDefault="001A41A3" w:rsidP="001A41A3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Cercetarea identifică și analizează</w:t>
      </w:r>
      <w:r w:rsidRPr="001A41A3">
        <w:rPr>
          <w:rFonts w:ascii="Times New Roman" w:hAnsi="Times New Roman" w:cs="Times New Roman"/>
          <w:sz w:val="24"/>
          <w:szCs w:val="24"/>
          <w:lang w:val="en-GB"/>
        </w:rPr>
        <w:t xml:space="preserve"> obstacolele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care stau </w:t>
      </w:r>
      <w:r w:rsidRPr="001A41A3">
        <w:rPr>
          <w:rFonts w:ascii="Times New Roman" w:hAnsi="Times New Roman" w:cs="Times New Roman"/>
          <w:sz w:val="24"/>
          <w:szCs w:val="24"/>
          <w:lang w:val="en-GB"/>
        </w:rPr>
        <w:t xml:space="preserve">în calea adoptării sistemelor </w:t>
      </w:r>
      <w:r>
        <w:rPr>
          <w:rFonts w:ascii="Times New Roman" w:hAnsi="Times New Roman" w:cs="Times New Roman"/>
          <w:sz w:val="24"/>
          <w:szCs w:val="24"/>
          <w:lang w:val="en-GB"/>
        </w:rPr>
        <w:t>tehnologice integrate b</w:t>
      </w:r>
      <w:r w:rsidR="00EE4496">
        <w:rPr>
          <w:rFonts w:ascii="Times New Roman" w:hAnsi="Times New Roman" w:cs="Times New Roman"/>
          <w:sz w:val="24"/>
          <w:szCs w:val="24"/>
          <w:lang w:val="en-GB"/>
        </w:rPr>
        <w:t>a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zate </w:t>
      </w:r>
      <w:r w:rsidRPr="001A41A3">
        <w:rPr>
          <w:rFonts w:ascii="Times New Roman" w:hAnsi="Times New Roman" w:cs="Times New Roman"/>
          <w:sz w:val="24"/>
          <w:szCs w:val="24"/>
          <w:lang w:val="en-GB"/>
        </w:rPr>
        <w:t xml:space="preserve">de pompe de căldură în </w:t>
      </w:r>
      <w:r>
        <w:rPr>
          <w:rFonts w:ascii="Times New Roman" w:hAnsi="Times New Roman" w:cs="Times New Roman"/>
          <w:sz w:val="24"/>
          <w:szCs w:val="24"/>
          <w:lang w:val="en-GB"/>
        </w:rPr>
        <w:t>gospodării</w:t>
      </w:r>
      <w:r w:rsidRPr="001A41A3">
        <w:rPr>
          <w:rFonts w:ascii="Times New Roman" w:hAnsi="Times New Roman" w:cs="Times New Roman"/>
          <w:sz w:val="24"/>
          <w:szCs w:val="24"/>
          <w:lang w:val="en-GB"/>
        </w:rPr>
        <w:t xml:space="preserve"> ca alternativă la sistemele convenționale de încălzire și răcire</w:t>
      </w:r>
      <w:r>
        <w:rPr>
          <w:rFonts w:ascii="Times New Roman" w:hAnsi="Times New Roman" w:cs="Times New Roman"/>
          <w:sz w:val="24"/>
          <w:szCs w:val="24"/>
          <w:lang w:val="en-GB"/>
        </w:rPr>
        <w:t>, care sunt</w:t>
      </w:r>
      <w:r w:rsidRPr="001A41A3">
        <w:rPr>
          <w:rFonts w:ascii="Times New Roman" w:hAnsi="Times New Roman" w:cs="Times New Roman"/>
          <w:sz w:val="24"/>
          <w:szCs w:val="24"/>
          <w:lang w:val="en-GB"/>
        </w:rPr>
        <w:t xml:space="preserve"> mai poluante.</w:t>
      </w:r>
    </w:p>
    <w:p w:rsidR="00D0707D" w:rsidRPr="001334D4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334D4">
        <w:rPr>
          <w:rFonts w:ascii="Times New Roman" w:hAnsi="Times New Roman" w:cs="Times New Roman"/>
        </w:rPr>
        <w:t xml:space="preserve">Cercetarea </w:t>
      </w:r>
      <w:proofErr w:type="gramStart"/>
      <w:r w:rsidRPr="001334D4">
        <w:rPr>
          <w:rFonts w:ascii="Times New Roman" w:hAnsi="Times New Roman" w:cs="Times New Roman"/>
        </w:rPr>
        <w:t>este</w:t>
      </w:r>
      <w:proofErr w:type="gramEnd"/>
      <w:r w:rsidRPr="001334D4">
        <w:rPr>
          <w:rFonts w:ascii="Times New Roman" w:hAnsi="Times New Roman" w:cs="Times New Roman"/>
        </w:rPr>
        <w:t xml:space="preserve"> de tip anchetă și s-a bazat pe elaborarea și difuzarea unui chestionar specializat. Acesta </w:t>
      </w:r>
      <w:proofErr w:type="gramStart"/>
      <w:r w:rsidRPr="001334D4">
        <w:rPr>
          <w:rFonts w:ascii="Times New Roman" w:hAnsi="Times New Roman" w:cs="Times New Roman"/>
        </w:rPr>
        <w:t>a</w:t>
      </w:r>
      <w:proofErr w:type="gramEnd"/>
      <w:r w:rsidRPr="001334D4">
        <w:rPr>
          <w:rFonts w:ascii="Times New Roman" w:hAnsi="Times New Roman" w:cs="Times New Roman"/>
        </w:rPr>
        <w:t xml:space="preserve"> avut în vedere identificarea atitudinii consumatorilor din România cu privire la decarbonizare și la tehnologiile integrate bazate pe pompe de căldură.</w:t>
      </w:r>
    </w:p>
    <w:p w:rsidR="00D0707D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334D4">
        <w:rPr>
          <w:rFonts w:ascii="Times New Roman" w:hAnsi="Times New Roman" w:cs="Times New Roman"/>
        </w:rPr>
        <w:t xml:space="preserve">Chestionarul cuprinde trei părți principale: prima parte conține întrebări demografice și întrebări legate de locuința respondenților, a doua parte vizează măsurarea atitudinii față de eficiența energetică și reducerea amprentei de carbon, în timp </w:t>
      </w:r>
      <w:proofErr w:type="gramStart"/>
      <w:r w:rsidRPr="001334D4">
        <w:rPr>
          <w:rFonts w:ascii="Times New Roman" w:hAnsi="Times New Roman" w:cs="Times New Roman"/>
        </w:rPr>
        <w:t>ce</w:t>
      </w:r>
      <w:proofErr w:type="gramEnd"/>
      <w:r w:rsidRPr="001334D4">
        <w:rPr>
          <w:rFonts w:ascii="Times New Roman" w:hAnsi="Times New Roman" w:cs="Times New Roman"/>
        </w:rPr>
        <w:t xml:space="preserve"> a treia secțiune evaluează factorii care ar putea influența atitudinea și percepția respondenților despre energia verde.</w:t>
      </w:r>
      <w:r>
        <w:rPr>
          <w:rFonts w:ascii="Times New Roman" w:hAnsi="Times New Roman" w:cs="Times New Roman"/>
        </w:rPr>
        <w:t xml:space="preserve"> </w:t>
      </w:r>
    </w:p>
    <w:p w:rsidR="00D0707D" w:rsidRPr="001334D4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Această cercetare </w:t>
      </w:r>
      <w:proofErr w:type="gramStart"/>
      <w:r>
        <w:rPr>
          <w:rFonts w:ascii="Times New Roman" w:hAnsi="Times New Roman" w:cs="Times New Roman"/>
        </w:rPr>
        <w:t>este</w:t>
      </w:r>
      <w:proofErr w:type="gramEnd"/>
      <w:r>
        <w:rPr>
          <w:rFonts w:ascii="Times New Roman" w:hAnsi="Times New Roman" w:cs="Times New Roman"/>
        </w:rPr>
        <w:t xml:space="preserve"> concentrate asupra secțiunii a treia a chestionarului.</w:t>
      </w:r>
    </w:p>
    <w:p w:rsidR="00D0707D" w:rsidRPr="001334D4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334D4">
        <w:rPr>
          <w:rFonts w:ascii="Times New Roman" w:hAnsi="Times New Roman" w:cs="Times New Roman"/>
        </w:rPr>
        <w:t>Pentru a maximiza rata de răspuns și a minimiza rata de abandon, toate întrebările sunt închise și, cu excepția celor demografice, sunt formulate pe o scală Likert de cinci puncte, care evaluează gradul de acord sau dezacord al respondenților cu o anumită afirmație, după cum urmează: 5—total de acord; 4—de acord; 3 — nici acord, nici dezacord; 2 — nu sunt de acord; 1 — total dezacord.</w:t>
      </w:r>
    </w:p>
    <w:p w:rsidR="00D0707D" w:rsidRPr="001334D4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334D4">
        <w:rPr>
          <w:rFonts w:ascii="Times New Roman" w:hAnsi="Times New Roman" w:cs="Times New Roman"/>
        </w:rPr>
        <w:t>Chestionarul a fost distribuit online și au fost colectate 389 de răspunsuri valide în perioada martie-iunie 2023.</w:t>
      </w:r>
    </w:p>
    <w:p w:rsidR="00D0707D" w:rsidRDefault="00D0707D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1334D4">
        <w:rPr>
          <w:rFonts w:ascii="Times New Roman" w:hAnsi="Times New Roman" w:cs="Times New Roman"/>
        </w:rPr>
        <w:t xml:space="preserve">Pentru un nivel de încredere de 95%, o marjă de eroare de 5%, o dimensiune a populației de 9.655.685 (conform Institutului Național de Statistică la 31 decembrie 2022 existau 9.655.685 unități de locuit în România) și o p̂ recomandată de 0,5 dacă nu sunteți sigur (în cazul nostru nu se știe pentru câte locuințe ar fi adecvată utilizarea tehnologiilor moderne, cum ar fi sistemele </w:t>
      </w:r>
      <w:r w:rsidRPr="001334D4">
        <w:rPr>
          <w:rFonts w:ascii="Times New Roman" w:hAnsi="Times New Roman" w:cs="Times New Roman"/>
        </w:rPr>
        <w:lastRenderedPageBreak/>
        <w:t>integrate bazate pe pompe de căldură, stocarea energiei termice și sistemele de control inteligent), rezultă o dimensiune a eșantionului de 385.</w:t>
      </w:r>
    </w:p>
    <w:p w:rsidR="008D376B" w:rsidRPr="001334D4" w:rsidRDefault="008D376B" w:rsidP="00D0707D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:rsidR="00D0707D" w:rsidRDefault="00D0707D" w:rsidP="00D0707D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334D4">
        <w:rPr>
          <w:rFonts w:ascii="Times New Roman" w:hAnsi="Times New Roman" w:cs="Times New Roman"/>
          <w:b/>
        </w:rPr>
        <w:t>Rezultate și discuție</w:t>
      </w:r>
    </w:p>
    <w:p w:rsidR="00D0707D" w:rsidRDefault="00D0707D" w:rsidP="00D0707D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:rsidR="008A702C" w:rsidRPr="00F254AD" w:rsidRDefault="00B021E1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021E1">
        <w:rPr>
          <w:rFonts w:ascii="Times New Roman" w:hAnsi="Times New Roman" w:cs="Times New Roman"/>
          <w:color w:val="000000"/>
          <w:sz w:val="24"/>
          <w:szCs w:val="24"/>
        </w:rPr>
        <w:t xml:space="preserve">Caracteristicile eșantionului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asociat acestei cercetări </w:t>
      </w:r>
      <w:r w:rsidRPr="00B021E1">
        <w:rPr>
          <w:rFonts w:ascii="Times New Roman" w:hAnsi="Times New Roman" w:cs="Times New Roman"/>
          <w:color w:val="000000"/>
          <w:sz w:val="24"/>
          <w:szCs w:val="24"/>
        </w:rPr>
        <w:t>sunt prezentate în Tabelul 1. După cum putem observa, 87</w:t>
      </w:r>
      <w:proofErr w:type="gramStart"/>
      <w:r w:rsidRPr="00B021E1">
        <w:rPr>
          <w:rFonts w:ascii="Times New Roman" w:hAnsi="Times New Roman" w:cs="Times New Roman"/>
          <w:color w:val="000000"/>
          <w:sz w:val="24"/>
          <w:szCs w:val="24"/>
        </w:rPr>
        <w:t>,7</w:t>
      </w:r>
      <w:proofErr w:type="gramEnd"/>
      <w:r w:rsidRPr="00B021E1">
        <w:rPr>
          <w:rFonts w:ascii="Times New Roman" w:hAnsi="Times New Roman" w:cs="Times New Roman"/>
          <w:color w:val="000000"/>
          <w:sz w:val="24"/>
          <w:szCs w:val="24"/>
        </w:rPr>
        <w:t xml:space="preserve">% dintre respondenți locuiesc în mediul urban, 68,3% au sub 25 de ani, iar 78,7% dintre ei locuiesc în locuințe izolate termic. </w:t>
      </w:r>
    </w:p>
    <w:p w:rsidR="002E0DA0" w:rsidRDefault="002E0DA0" w:rsidP="002E0DA0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lang w:val="en-GB"/>
        </w:rPr>
      </w:pPr>
      <w:r w:rsidRPr="00061B08">
        <w:rPr>
          <w:rFonts w:ascii="Times New Roman" w:hAnsi="Times New Roman" w:cs="Times New Roman"/>
          <w:iCs/>
          <w:sz w:val="24"/>
          <w:lang w:val="en-GB"/>
        </w:rPr>
        <w:t>Tabel</w:t>
      </w:r>
      <w:r w:rsidR="008E4402">
        <w:rPr>
          <w:rFonts w:ascii="Times New Roman" w:hAnsi="Times New Roman" w:cs="Times New Roman"/>
          <w:iCs/>
          <w:sz w:val="24"/>
          <w:lang w:val="en-GB"/>
        </w:rPr>
        <w:t>ul</w:t>
      </w:r>
      <w:r w:rsidRPr="00061B08">
        <w:rPr>
          <w:rFonts w:ascii="Times New Roman" w:hAnsi="Times New Roman" w:cs="Times New Roman"/>
          <w:iCs/>
          <w:sz w:val="24"/>
          <w:lang w:val="en-GB"/>
        </w:rPr>
        <w:t xml:space="preserve"> 1. Caracteristicile eșantionului</w:t>
      </w:r>
    </w:p>
    <w:p w:rsidR="00061B08" w:rsidRPr="00061B08" w:rsidRDefault="00061B08" w:rsidP="002E0DA0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2203"/>
        <w:gridCol w:w="1246"/>
      </w:tblGrid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 w:rsidRPr="00FE4BE0">
              <w:rPr>
                <w:rFonts w:asciiTheme="majorHAnsi" w:hAnsiTheme="majorHAnsi"/>
                <w:b/>
                <w:lang w:val="en-GB"/>
              </w:rPr>
              <w:t>Variab</w:t>
            </w:r>
            <w:r>
              <w:rPr>
                <w:rFonts w:asciiTheme="majorHAnsi" w:hAnsiTheme="majorHAnsi"/>
                <w:b/>
                <w:lang w:val="en-GB"/>
              </w:rPr>
              <w:t>i</w:t>
            </w:r>
            <w:r w:rsidRPr="00FE4BE0">
              <w:rPr>
                <w:rFonts w:asciiTheme="majorHAnsi" w:hAnsiTheme="majorHAnsi"/>
                <w:b/>
                <w:lang w:val="en-GB"/>
              </w:rPr>
              <w:t>le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Nivel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b/>
                <w:lang w:val="en-GB"/>
              </w:rPr>
            </w:pPr>
            <w:r>
              <w:rPr>
                <w:rFonts w:asciiTheme="majorHAnsi" w:hAnsiTheme="majorHAnsi"/>
                <w:b/>
                <w:lang w:val="en-GB"/>
              </w:rPr>
              <w:t>Procent</w:t>
            </w:r>
            <w:r w:rsidRPr="00FE4BE0">
              <w:rPr>
                <w:rFonts w:asciiTheme="majorHAnsi" w:hAnsiTheme="majorHAnsi"/>
                <w:b/>
                <w:lang w:val="en-GB"/>
              </w:rPr>
              <w:t xml:space="preserve"> (%)</w:t>
            </w:r>
          </w:p>
        </w:tc>
      </w:tr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2E0DA0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Rez</w:t>
            </w:r>
            <w:r w:rsidRPr="00FE4BE0">
              <w:rPr>
                <w:rFonts w:asciiTheme="majorHAnsi" w:hAnsiTheme="majorHAnsi"/>
                <w:lang w:val="en-GB"/>
              </w:rPr>
              <w:t>iden</w:t>
            </w:r>
            <w:r>
              <w:rPr>
                <w:rFonts w:asciiTheme="majorHAnsi" w:hAnsiTheme="majorHAnsi"/>
                <w:lang w:val="en-GB"/>
              </w:rPr>
              <w:t>ța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Mediu </w:t>
            </w:r>
            <w:r w:rsidRPr="00FE4BE0">
              <w:rPr>
                <w:rFonts w:asciiTheme="majorHAnsi" w:hAnsiTheme="majorHAnsi"/>
                <w:lang w:val="en-GB"/>
              </w:rPr>
              <w:t>Urban</w:t>
            </w:r>
          </w:p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Mediu </w:t>
            </w:r>
            <w:r w:rsidRPr="00FE4BE0">
              <w:rPr>
                <w:rFonts w:asciiTheme="majorHAnsi" w:hAnsiTheme="majorHAnsi"/>
                <w:lang w:val="en-GB"/>
              </w:rPr>
              <w:t>Rural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87.7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12.3</w:t>
            </w:r>
          </w:p>
        </w:tc>
      </w:tr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Gr</w:t>
            </w:r>
            <w:r w:rsidRPr="00FE4BE0">
              <w:rPr>
                <w:rFonts w:asciiTheme="majorHAnsi" w:hAnsiTheme="majorHAnsi"/>
                <w:lang w:val="en-GB"/>
              </w:rPr>
              <w:t>up</w:t>
            </w:r>
            <w:r>
              <w:rPr>
                <w:rFonts w:asciiTheme="majorHAnsi" w:hAnsiTheme="majorHAnsi"/>
                <w:lang w:val="en-GB"/>
              </w:rPr>
              <w:t>a de vârstă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 xml:space="preserve">18-25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 xml:space="preserve">26-35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 xml:space="preserve">36-45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 xml:space="preserve">46-55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 xml:space="preserve">56-65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Peste</w:t>
            </w:r>
            <w:r w:rsidRPr="00FE4BE0">
              <w:rPr>
                <w:rFonts w:asciiTheme="majorHAnsi" w:hAnsiTheme="majorHAnsi"/>
                <w:lang w:val="en-GB"/>
              </w:rPr>
              <w:t xml:space="preserve"> 65 </w:t>
            </w:r>
            <w:r>
              <w:rPr>
                <w:rFonts w:asciiTheme="majorHAnsi" w:hAnsiTheme="majorHAnsi"/>
                <w:lang w:val="en-GB"/>
              </w:rPr>
              <w:t>ani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68.3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9.3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11.1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9.0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1.3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1.0</w:t>
            </w:r>
          </w:p>
        </w:tc>
      </w:tr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Reprezentare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Feminină</w:t>
            </w:r>
          </w:p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Masculină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56.6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43.4</w:t>
            </w:r>
          </w:p>
        </w:tc>
      </w:tr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2E0DA0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Educati</w:t>
            </w:r>
            <w:r>
              <w:rPr>
                <w:rFonts w:asciiTheme="majorHAnsi" w:hAnsiTheme="majorHAnsi"/>
                <w:lang w:val="en-GB"/>
              </w:rPr>
              <w:t>e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Liceu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Bachelor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Master</w:t>
            </w:r>
          </w:p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Studii postuniversitare</w:t>
            </w:r>
          </w:p>
          <w:p w:rsidR="002E0DA0" w:rsidRPr="00FE4BE0" w:rsidRDefault="002E0DA0" w:rsidP="002E0DA0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Doctorat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51.2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22.6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14.9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6.4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4.9</w:t>
            </w:r>
          </w:p>
        </w:tc>
      </w:tr>
      <w:tr w:rsidR="002E0DA0" w:rsidRPr="00FE4BE0" w:rsidTr="0072528A">
        <w:trPr>
          <w:jc w:val="center"/>
        </w:trPr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Izolare termică a clădirii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Izolată</w:t>
            </w:r>
          </w:p>
          <w:p w:rsidR="002E0DA0" w:rsidRDefault="002E0DA0" w:rsidP="002E0DA0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Partial</w:t>
            </w:r>
            <w:r>
              <w:rPr>
                <w:rFonts w:asciiTheme="majorHAnsi" w:hAnsiTheme="majorHAnsi"/>
                <w:lang w:val="en-GB"/>
              </w:rPr>
              <w:t xml:space="preserve"> izolată</w:t>
            </w:r>
          </w:p>
          <w:p w:rsidR="002E0DA0" w:rsidRPr="00FE4BE0" w:rsidRDefault="002E0DA0" w:rsidP="002E0DA0">
            <w:pPr>
              <w:spacing w:after="0" w:line="240" w:lineRule="auto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Neizolată</w:t>
            </w:r>
          </w:p>
        </w:tc>
        <w:tc>
          <w:tcPr>
            <w:tcW w:w="0" w:type="auto"/>
          </w:tcPr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78.7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12.8</w:t>
            </w:r>
          </w:p>
          <w:p w:rsidR="002E0DA0" w:rsidRPr="00FE4BE0" w:rsidRDefault="002E0DA0" w:rsidP="0072528A">
            <w:pPr>
              <w:spacing w:after="0" w:line="240" w:lineRule="auto"/>
              <w:jc w:val="center"/>
              <w:rPr>
                <w:rFonts w:asciiTheme="majorHAnsi" w:hAnsiTheme="majorHAnsi"/>
                <w:lang w:val="en-GB"/>
              </w:rPr>
            </w:pPr>
            <w:r w:rsidRPr="00FE4BE0">
              <w:rPr>
                <w:rFonts w:asciiTheme="majorHAnsi" w:hAnsiTheme="majorHAnsi"/>
                <w:lang w:val="en-GB"/>
              </w:rPr>
              <w:t>8.5</w:t>
            </w:r>
          </w:p>
        </w:tc>
      </w:tr>
    </w:tbl>
    <w:p w:rsidR="00E75505" w:rsidRPr="00E75505" w:rsidRDefault="002E0DA0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5505">
        <w:rPr>
          <w:rFonts w:ascii="Times New Roman" w:hAnsi="Times New Roman" w:cs="Times New Roman"/>
          <w:sz w:val="24"/>
          <w:szCs w:val="24"/>
          <w:lang w:val="en-GB"/>
        </w:rPr>
        <w:t>Sursă: Cercetarea autorilor</w:t>
      </w:r>
    </w:p>
    <w:p w:rsidR="00291291" w:rsidRDefault="00E75505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Studiul </w:t>
      </w:r>
      <w:r>
        <w:rPr>
          <w:rFonts w:ascii="Times New Roman" w:hAnsi="Times New Roman" w:cs="Times New Roman"/>
          <w:sz w:val="24"/>
          <w:szCs w:val="24"/>
          <w:lang w:val="en-GB"/>
        </w:rPr>
        <w:t>are la bază o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 regresie liniară pentru </w:t>
      </w:r>
      <w:proofErr w:type="gramStart"/>
      <w:r w:rsidRPr="00E75505">
        <w:rPr>
          <w:rFonts w:ascii="Times New Roman" w:hAnsi="Times New Roman" w:cs="Times New Roman"/>
          <w:sz w:val="24"/>
          <w:szCs w:val="24"/>
          <w:lang w:val="en-GB"/>
        </w:rPr>
        <w:t>a</w:t>
      </w:r>
      <w:proofErr w:type="gramEnd"/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 examina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obstacolele care stau în calea implementării unei sistem integrat bazat pe pompe de căldură. Astfel se analizează 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dacă intenția de a </w:t>
      </w:r>
      <w:r>
        <w:rPr>
          <w:rFonts w:ascii="Times New Roman" w:hAnsi="Times New Roman" w:cs="Times New Roman"/>
          <w:sz w:val="24"/>
          <w:szCs w:val="24"/>
          <w:lang w:val="en-GB"/>
        </w:rPr>
        <w:t>implementa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 un sistem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tehnologic integrat bazat 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de pompe de căldură în locuri rezidențiale, pentru încălzirea menajeră, răcirea și producerea de apă caldă, poate fi prezisă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ca fiind 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>negativ</w:t>
      </w:r>
      <w:r>
        <w:rPr>
          <w:rFonts w:ascii="Times New Roman" w:hAnsi="Times New Roman" w:cs="Times New Roman"/>
          <w:sz w:val="24"/>
          <w:szCs w:val="24"/>
          <w:lang w:val="en-GB"/>
        </w:rPr>
        <w:t>ă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în</w:t>
      </w:r>
      <w:r w:rsidRPr="00E75505">
        <w:rPr>
          <w:rFonts w:ascii="Times New Roman" w:hAnsi="Times New Roman" w:cs="Times New Roman"/>
          <w:sz w:val="24"/>
          <w:szCs w:val="24"/>
          <w:lang w:val="en-GB"/>
        </w:rPr>
        <w:t xml:space="preserve"> baza mai multor variabile, identificate ca obstacole în calea îmbunătățirii performanței energetice și a reducerii </w:t>
      </w:r>
      <w:r w:rsidR="00447D57">
        <w:rPr>
          <w:rFonts w:ascii="Times New Roman" w:hAnsi="Times New Roman" w:cs="Times New Roman"/>
          <w:sz w:val="24"/>
          <w:szCs w:val="24"/>
          <w:lang w:val="en-GB"/>
        </w:rPr>
        <w:t>emisiilor de gaze cu efect de seră.</w:t>
      </w:r>
    </w:p>
    <w:p w:rsidR="00DB0EDD" w:rsidRDefault="005D3031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D3031">
        <w:rPr>
          <w:rFonts w:ascii="Times New Roman" w:hAnsi="Times New Roman" w:cs="Times New Roman"/>
          <w:sz w:val="24"/>
          <w:szCs w:val="24"/>
          <w:lang w:val="en-GB"/>
        </w:rPr>
        <w:lastRenderedPageBreak/>
        <w:t>Astfel, model</w:t>
      </w:r>
      <w:r>
        <w:rPr>
          <w:rFonts w:ascii="Times New Roman" w:hAnsi="Times New Roman" w:cs="Times New Roman"/>
          <w:sz w:val="24"/>
          <w:szCs w:val="24"/>
          <w:lang w:val="en-GB"/>
        </w:rPr>
        <w:t>ul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de regresie (Tabelul </w:t>
      </w: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) testează influența a șapte obstacole (variabile independente) asupra intenției de </w:t>
      </w:r>
      <w:r>
        <w:rPr>
          <w:rFonts w:ascii="Times New Roman" w:hAnsi="Times New Roman" w:cs="Times New Roman"/>
          <w:sz w:val="24"/>
          <w:szCs w:val="24"/>
          <w:lang w:val="en-GB"/>
        </w:rPr>
        <w:t>implementare a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unui sistem tehnologic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sistemului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bazat </w:t>
      </w:r>
      <w:proofErr w:type="gramStart"/>
      <w:r>
        <w:rPr>
          <w:rFonts w:ascii="Times New Roman" w:hAnsi="Times New Roman" w:cs="Times New Roman"/>
          <w:sz w:val="24"/>
          <w:szCs w:val="24"/>
          <w:lang w:val="en-GB"/>
        </w:rPr>
        <w:t xml:space="preserve">pe 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pompe</w:t>
      </w:r>
      <w:proofErr w:type="gramEnd"/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de căldură de către proprietari și rezidenți pentru încălzirea menajeră, răcirea și </w:t>
      </w:r>
      <w:r>
        <w:rPr>
          <w:rFonts w:ascii="Times New Roman" w:hAnsi="Times New Roman" w:cs="Times New Roman"/>
          <w:sz w:val="24"/>
          <w:szCs w:val="24"/>
          <w:lang w:val="en-GB"/>
        </w:rPr>
        <w:t>generarea de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 xml:space="preserve"> apă caldă (</w:t>
      </w:r>
      <w:r>
        <w:rPr>
          <w:rFonts w:ascii="Times New Roman" w:hAnsi="Times New Roman" w:cs="Times New Roman"/>
          <w:sz w:val="24"/>
          <w:szCs w:val="24"/>
          <w:lang w:val="en-GB"/>
        </w:rPr>
        <w:t>Pomp</w:t>
      </w:r>
      <w:r w:rsidR="001A6759">
        <w:rPr>
          <w:rFonts w:ascii="Times New Roman" w:hAnsi="Times New Roman" w:cs="Times New Roman"/>
          <w:sz w:val="24"/>
          <w:szCs w:val="24"/>
          <w:lang w:val="en-GB"/>
        </w:rPr>
        <w:t>ă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de căldură</w:t>
      </w:r>
      <w:r w:rsidRPr="005D3031">
        <w:rPr>
          <w:rFonts w:ascii="Times New Roman" w:hAnsi="Times New Roman" w:cs="Times New Roman"/>
          <w:sz w:val="24"/>
          <w:szCs w:val="24"/>
          <w:lang w:val="en-GB"/>
        </w:rPr>
        <w:t>) (variabilă dependentă).</w:t>
      </w:r>
    </w:p>
    <w:p w:rsidR="00447D57" w:rsidRPr="008F0B70" w:rsidRDefault="001A6759" w:rsidP="00903D42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F0B70">
        <w:rPr>
          <w:rFonts w:ascii="Times New Roman" w:hAnsi="Times New Roman" w:cs="Times New Roman"/>
          <w:sz w:val="24"/>
          <w:szCs w:val="24"/>
          <w:lang w:val="en-GB"/>
        </w:rPr>
        <w:t>Obstacolele examinate în studiu sunt: (a) Birocrația (elaborarea slabă a politicilor, hârțogăria crescută) (Birocrația); (b) Legislație deficitară (inclusiv reglementări deficitare și politici publice locale ineficiente) (Legideficitare); (c) Lipsa surselor de finanțare (</w:t>
      </w:r>
      <w:r w:rsidR="008F0B70" w:rsidRPr="008F0B70">
        <w:rPr>
          <w:rFonts w:ascii="Times New Roman" w:hAnsi="Times New Roman" w:cs="Times New Roman"/>
          <w:bCs/>
          <w:color w:val="000000"/>
          <w:sz w:val="24"/>
          <w:szCs w:val="24"/>
          <w:lang w:val="en-GB"/>
        </w:rPr>
        <w:t>Finanțare.Deficitară</w:t>
      </w:r>
      <w:r w:rsidRPr="008F0B70">
        <w:rPr>
          <w:rFonts w:ascii="Times New Roman" w:hAnsi="Times New Roman" w:cs="Times New Roman"/>
          <w:sz w:val="24"/>
          <w:szCs w:val="24"/>
          <w:lang w:val="en-GB"/>
        </w:rPr>
        <w:t>); (d) Lipsa specialiștilor în domeniul energiei (</w:t>
      </w:r>
      <w:r w:rsidR="008F0B70" w:rsidRPr="008F0B70">
        <w:rPr>
          <w:rStyle w:val="y2iqfc"/>
          <w:rFonts w:ascii="Times New Roman" w:hAnsi="Times New Roman" w:cs="Times New Roman"/>
          <w:bCs/>
          <w:color w:val="202124"/>
          <w:sz w:val="24"/>
          <w:szCs w:val="24"/>
          <w:lang w:val="en-GB"/>
        </w:rPr>
        <w:t>LipsăExperți</w:t>
      </w:r>
      <w:r w:rsidRPr="008F0B70">
        <w:rPr>
          <w:rFonts w:ascii="Times New Roman" w:hAnsi="Times New Roman" w:cs="Times New Roman"/>
          <w:sz w:val="24"/>
          <w:szCs w:val="24"/>
          <w:lang w:val="en-GB"/>
        </w:rPr>
        <w:t>); (e) Lipsa de informare a consumatorilor în domeniul energiei (</w:t>
      </w:r>
      <w:r w:rsidR="008F0B70" w:rsidRPr="008F0B70">
        <w:rPr>
          <w:rStyle w:val="y2iqfc"/>
          <w:rFonts w:ascii="Times New Roman" w:hAnsi="Times New Roman" w:cs="Times New Roman"/>
          <w:bCs/>
          <w:color w:val="202124"/>
          <w:sz w:val="24"/>
          <w:szCs w:val="24"/>
          <w:lang w:val="en-GB"/>
        </w:rPr>
        <w:t>LipsăInformare</w:t>
      </w:r>
      <w:r w:rsidRPr="008F0B70">
        <w:rPr>
          <w:rFonts w:ascii="Times New Roman" w:hAnsi="Times New Roman" w:cs="Times New Roman"/>
          <w:sz w:val="24"/>
          <w:szCs w:val="24"/>
          <w:lang w:val="en-GB"/>
        </w:rPr>
        <w:t>); (f) Infrastructură slabă pentru distribuția energiei (</w:t>
      </w:r>
      <w:r w:rsidR="008F0B70" w:rsidRPr="008F0B70">
        <w:rPr>
          <w:rStyle w:val="y2iqfc"/>
          <w:rFonts w:ascii="Times New Roman" w:hAnsi="Times New Roman" w:cs="Times New Roman"/>
          <w:bCs/>
          <w:color w:val="202124"/>
          <w:sz w:val="24"/>
          <w:szCs w:val="24"/>
          <w:lang w:val="en-GB"/>
        </w:rPr>
        <w:t>InfrastrDeficitară</w:t>
      </w:r>
      <w:r w:rsidRPr="008F0B70">
        <w:rPr>
          <w:rFonts w:ascii="Times New Roman" w:hAnsi="Times New Roman" w:cs="Times New Roman"/>
          <w:sz w:val="24"/>
          <w:szCs w:val="24"/>
          <w:lang w:val="en-GB"/>
        </w:rPr>
        <w:t>); și (g) Lipsa stimulentelor fiscale (</w:t>
      </w:r>
      <w:r w:rsidR="008F0B70" w:rsidRPr="008F0B70">
        <w:rPr>
          <w:rStyle w:val="y2iqfc"/>
          <w:rFonts w:ascii="Times New Roman" w:hAnsi="Times New Roman" w:cs="Times New Roman"/>
          <w:bCs/>
          <w:color w:val="202124"/>
          <w:sz w:val="24"/>
          <w:szCs w:val="24"/>
          <w:lang w:val="en-GB"/>
        </w:rPr>
        <w:t>LipsăStimulenteFi</w:t>
      </w:r>
      <w:r w:rsidR="00637575">
        <w:rPr>
          <w:rStyle w:val="y2iqfc"/>
          <w:rFonts w:ascii="Times New Roman" w:hAnsi="Times New Roman" w:cs="Times New Roman"/>
          <w:bCs/>
          <w:color w:val="202124"/>
          <w:sz w:val="24"/>
          <w:szCs w:val="24"/>
          <w:lang w:val="en-GB"/>
        </w:rPr>
        <w:t>s</w:t>
      </w:r>
      <w:r w:rsidRPr="008F0B70">
        <w:rPr>
          <w:rFonts w:ascii="Times New Roman" w:hAnsi="Times New Roman" w:cs="Times New Roman"/>
          <w:sz w:val="24"/>
          <w:szCs w:val="24"/>
          <w:lang w:val="en-GB"/>
        </w:rPr>
        <w:t>).</w:t>
      </w:r>
    </w:p>
    <w:p w:rsidR="001A6759" w:rsidRPr="008F0B70" w:rsidRDefault="001A6759" w:rsidP="001A6759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8F0B70">
        <w:rPr>
          <w:rFonts w:ascii="Times New Roman" w:hAnsi="Times New Roman" w:cs="Times New Roman"/>
          <w:iCs/>
          <w:sz w:val="24"/>
          <w:szCs w:val="24"/>
          <w:lang w:val="en-GB"/>
        </w:rPr>
        <w:t>Tabel</w:t>
      </w:r>
      <w:r w:rsidR="008E4402">
        <w:rPr>
          <w:rFonts w:ascii="Times New Roman" w:hAnsi="Times New Roman" w:cs="Times New Roman"/>
          <w:iCs/>
          <w:sz w:val="24"/>
          <w:szCs w:val="24"/>
          <w:lang w:val="en-GB"/>
        </w:rPr>
        <w:t>ul</w:t>
      </w:r>
      <w:r w:rsidRPr="008F0B70">
        <w:rPr>
          <w:rFonts w:ascii="Times New Roman" w:hAnsi="Times New Roman" w:cs="Times New Roman"/>
          <w:iCs/>
          <w:sz w:val="24"/>
          <w:szCs w:val="24"/>
          <w:lang w:val="en-GB"/>
        </w:rPr>
        <w:t xml:space="preserve"> 2. Statistici Descriptive, Corelația Pearson și Modelul rezumat pentru obstacole în calea implem</w:t>
      </w:r>
      <w:r w:rsidR="008F0B70">
        <w:rPr>
          <w:rFonts w:ascii="Times New Roman" w:hAnsi="Times New Roman" w:cs="Times New Roman"/>
          <w:iCs/>
          <w:sz w:val="24"/>
          <w:szCs w:val="24"/>
          <w:lang w:val="en-GB"/>
        </w:rPr>
        <w:t>en</w:t>
      </w:r>
      <w:r w:rsidRPr="008F0B70">
        <w:rPr>
          <w:rFonts w:ascii="Times New Roman" w:hAnsi="Times New Roman" w:cs="Times New Roman"/>
          <w:iCs/>
          <w:sz w:val="24"/>
          <w:szCs w:val="24"/>
          <w:lang w:val="en-GB"/>
        </w:rPr>
        <w:t>tării sistemelor tehnol</w:t>
      </w:r>
      <w:r w:rsidR="00AD372B">
        <w:rPr>
          <w:rFonts w:ascii="Times New Roman" w:hAnsi="Times New Roman" w:cs="Times New Roman"/>
          <w:iCs/>
          <w:sz w:val="24"/>
          <w:szCs w:val="24"/>
          <w:lang w:val="en-GB"/>
        </w:rPr>
        <w:t>o</w:t>
      </w:r>
      <w:r w:rsidRPr="008F0B70">
        <w:rPr>
          <w:rFonts w:ascii="Times New Roman" w:hAnsi="Times New Roman" w:cs="Times New Roman"/>
          <w:iCs/>
          <w:sz w:val="24"/>
          <w:szCs w:val="24"/>
          <w:lang w:val="en-GB"/>
        </w:rPr>
        <w:t>gice integrate cu pompe de căldură</w:t>
      </w:r>
      <w:r w:rsidRPr="008F0B70">
        <w:rPr>
          <w:rFonts w:ascii="Times New Roman" w:hAnsi="Times New Roman" w:cs="Times New Roman"/>
          <w:iCs/>
          <w:sz w:val="24"/>
          <w:szCs w:val="24"/>
          <w:vertAlign w:val="superscript"/>
          <w:lang w:val="en-GB"/>
        </w:rPr>
        <w:t>b</w:t>
      </w:r>
    </w:p>
    <w:tbl>
      <w:tblPr>
        <w:tblW w:w="9798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5"/>
        <w:gridCol w:w="795"/>
        <w:gridCol w:w="1083"/>
        <w:gridCol w:w="807"/>
        <w:gridCol w:w="807"/>
        <w:gridCol w:w="807"/>
        <w:gridCol w:w="808"/>
        <w:gridCol w:w="808"/>
        <w:gridCol w:w="808"/>
        <w:gridCol w:w="808"/>
        <w:gridCol w:w="812"/>
      </w:tblGrid>
      <w:tr w:rsidR="001A6759" w:rsidRPr="00C368B2" w:rsidTr="008F0B70">
        <w:trPr>
          <w:cantSplit/>
          <w:trHeight w:val="404"/>
        </w:trPr>
        <w:tc>
          <w:tcPr>
            <w:tcW w:w="1455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795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Mean</w:t>
            </w:r>
          </w:p>
        </w:tc>
        <w:tc>
          <w:tcPr>
            <w:tcW w:w="1083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Std. Deviation</w:t>
            </w:r>
          </w:p>
        </w:tc>
        <w:tc>
          <w:tcPr>
            <w:tcW w:w="807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Pompă Căldură</w:t>
            </w:r>
          </w:p>
        </w:tc>
        <w:tc>
          <w:tcPr>
            <w:tcW w:w="807" w:type="dxa"/>
            <w:shd w:val="clear" w:color="auto" w:fill="FFFFFF"/>
          </w:tcPr>
          <w:p w:rsidR="001A6759" w:rsidRPr="00C368B2" w:rsidRDefault="001A6759" w:rsidP="001A675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B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irocrație</w:t>
            </w:r>
          </w:p>
        </w:tc>
        <w:tc>
          <w:tcPr>
            <w:tcW w:w="807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LegiDeficitare</w:t>
            </w:r>
          </w:p>
        </w:tc>
        <w:tc>
          <w:tcPr>
            <w:tcW w:w="808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Finațare.Deficitară</w:t>
            </w:r>
          </w:p>
        </w:tc>
        <w:tc>
          <w:tcPr>
            <w:tcW w:w="808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LipsăExperți</w:t>
            </w:r>
          </w:p>
        </w:tc>
        <w:tc>
          <w:tcPr>
            <w:tcW w:w="808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LipsăInformare</w:t>
            </w:r>
          </w:p>
        </w:tc>
        <w:tc>
          <w:tcPr>
            <w:tcW w:w="808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InfrastrDeficitară</w:t>
            </w:r>
          </w:p>
        </w:tc>
        <w:tc>
          <w:tcPr>
            <w:tcW w:w="812" w:type="dxa"/>
            <w:shd w:val="clear" w:color="auto" w:fill="FFFFFF"/>
          </w:tcPr>
          <w:p w:rsidR="001A6759" w:rsidRPr="00C368B2" w:rsidRDefault="001A6759" w:rsidP="0063757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LipsăStimulenteFi</w:t>
            </w:r>
            <w:r w:rsidR="00637575"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s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PompăCaldură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3.8072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0.75988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0.207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0.165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0.182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0.174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0.281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0.226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0.309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1A6759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 w:eastAsia="ro-RO"/>
              </w:rPr>
              <w:t>B</w:t>
            </w:r>
            <w:r>
              <w:rPr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 w:eastAsia="ro-RO"/>
              </w:rPr>
              <w:t>irocrație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4.0257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0.90779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0.643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0.281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0.089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0.229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0.313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0.399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LegiDeficitare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4.0437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0.82839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0.342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0.129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0.319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0.380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0.465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Fina</w:t>
            </w:r>
            <w:r w:rsidR="008F0B70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n</w:t>
            </w: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țare.Deficitară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3.9692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0.93283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0.371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0.236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0.350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0.374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LipsăExperți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3.5913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0.96058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0.420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0.341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0.326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LipsăInformare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4.1285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0.82733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0.418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0.459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InfrastrDeficitară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3.9563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0.86492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0.480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637575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LipsăStimulenteFi</w:t>
            </w:r>
            <w:r w:rsidR="00637575"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s</w:t>
            </w:r>
          </w:p>
        </w:tc>
        <w:tc>
          <w:tcPr>
            <w:tcW w:w="79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3.9332</w:t>
            </w:r>
          </w:p>
        </w:tc>
        <w:tc>
          <w:tcPr>
            <w:tcW w:w="1083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0.84381</w:t>
            </w: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7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8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12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1.000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</w:pPr>
            <w:r w:rsidRPr="00C368B2"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R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0.367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a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R Square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0.135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Adjusted R Square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0.119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Std. Error of the Estimate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0.71338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Style w:val="y2iqfc"/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Durbin-Watson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2.132</w:t>
            </w:r>
          </w:p>
        </w:tc>
      </w:tr>
      <w:tr w:rsidR="001A6759" w:rsidRPr="00C368B2" w:rsidTr="008F0B70">
        <w:trPr>
          <w:cantSplit/>
          <w:trHeight w:val="307"/>
        </w:trPr>
        <w:tc>
          <w:tcPr>
            <w:tcW w:w="1455" w:type="dxa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F</w:t>
            </w:r>
          </w:p>
        </w:tc>
        <w:tc>
          <w:tcPr>
            <w:tcW w:w="8343" w:type="dxa"/>
            <w:gridSpan w:val="10"/>
            <w:shd w:val="clear" w:color="auto" w:fill="FFFFFF"/>
            <w:vAlign w:val="center"/>
          </w:tcPr>
          <w:p w:rsidR="001A6759" w:rsidRPr="00C368B2" w:rsidRDefault="001A6759" w:rsidP="0072528A">
            <w:pPr>
              <w:autoSpaceDE w:val="0"/>
              <w:autoSpaceDN w:val="0"/>
              <w:adjustRightInd w:val="0"/>
              <w:spacing w:after="0" w:line="240" w:lineRule="auto"/>
              <w:ind w:left="58" w:right="58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8.462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vertAlign w:val="superscript"/>
                <w:lang w:val="en-GB"/>
              </w:rPr>
              <w:t>***</w:t>
            </w:r>
          </w:p>
        </w:tc>
      </w:tr>
    </w:tbl>
    <w:p w:rsidR="001A6759" w:rsidRPr="00C368B2" w:rsidRDefault="001A6759" w:rsidP="001A675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  <w:lang w:val="en-GB"/>
        </w:rPr>
      </w:pPr>
      <w:r w:rsidRPr="00C368B2">
        <w:rPr>
          <w:rFonts w:asciiTheme="majorHAnsi" w:hAnsiTheme="majorHAnsi"/>
          <w:sz w:val="20"/>
          <w:szCs w:val="20"/>
          <w:lang w:val="en-GB"/>
        </w:rPr>
        <w:t>Not</w:t>
      </w:r>
      <w:r w:rsidR="008F0B70">
        <w:rPr>
          <w:rFonts w:asciiTheme="majorHAnsi" w:hAnsiTheme="majorHAnsi"/>
          <w:sz w:val="20"/>
          <w:szCs w:val="20"/>
          <w:lang w:val="en-GB"/>
        </w:rPr>
        <w:t>ă</w:t>
      </w:r>
      <w:r w:rsidRPr="00C368B2">
        <w:rPr>
          <w:rFonts w:asciiTheme="majorHAnsi" w:hAnsiTheme="majorHAnsi"/>
          <w:sz w:val="20"/>
          <w:szCs w:val="20"/>
          <w:lang w:val="en-GB"/>
        </w:rPr>
        <w:t>: N=389, *** = p&lt;0.001; ** = p&lt;0.01; * = p&lt;0.05</w:t>
      </w:r>
    </w:p>
    <w:tbl>
      <w:tblPr>
        <w:tblW w:w="94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2"/>
      </w:tblGrid>
      <w:tr w:rsidR="001A6759" w:rsidRPr="00C368B2" w:rsidTr="0072528A">
        <w:trPr>
          <w:cantSplit/>
        </w:trPr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759" w:rsidRPr="00C368B2" w:rsidRDefault="001A6759" w:rsidP="008F0B7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a. Predictor</w:t>
            </w:r>
            <w:r w:rsid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i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: (Constant), </w:t>
            </w:r>
            <w:r w:rsidR="008F0B70" w:rsidRPr="008F0B70">
              <w:rPr>
                <w:rFonts w:asciiTheme="majorHAnsi" w:hAnsiTheme="majorHAnsi"/>
                <w:bCs/>
                <w:color w:val="000000"/>
                <w:sz w:val="20"/>
                <w:szCs w:val="20"/>
                <w:lang w:val="en-GB"/>
              </w:rPr>
              <w:t>Fina</w:t>
            </w:r>
            <w:r w:rsidR="008F0B70">
              <w:rPr>
                <w:rFonts w:asciiTheme="majorHAnsi" w:hAnsiTheme="majorHAnsi"/>
                <w:bCs/>
                <w:color w:val="000000"/>
                <w:sz w:val="20"/>
                <w:szCs w:val="20"/>
                <w:lang w:val="en-GB"/>
              </w:rPr>
              <w:t>n</w:t>
            </w:r>
            <w:r w:rsidR="008F0B70" w:rsidRPr="008F0B70">
              <w:rPr>
                <w:rFonts w:asciiTheme="majorHAnsi" w:hAnsiTheme="majorHAnsi"/>
                <w:bCs/>
                <w:color w:val="000000"/>
                <w:sz w:val="20"/>
                <w:szCs w:val="20"/>
                <w:lang w:val="en-GB"/>
              </w:rPr>
              <w:t xml:space="preserve">țare.Deficitară, </w:t>
            </w:r>
            <w:r w:rsidR="008F0B70"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 </w:t>
            </w:r>
            <w:r w:rsidR="008F0B70" w:rsidRPr="008F0B70">
              <w:rPr>
                <w:rStyle w:val="y2iqfc"/>
                <w:rFonts w:asciiTheme="majorHAnsi" w:hAnsiTheme="majorHAnsi"/>
                <w:bCs/>
                <w:color w:val="202124"/>
                <w:sz w:val="20"/>
                <w:szCs w:val="20"/>
                <w:lang w:val="en-GB"/>
              </w:rPr>
              <w:t>LipsăExperți</w:t>
            </w:r>
            <w:r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8F0B70" w:rsidRPr="008F0B70">
              <w:rPr>
                <w:rFonts w:asciiTheme="majorHAnsi" w:hAnsiTheme="majorHAnsi"/>
                <w:bCs/>
                <w:color w:val="202124"/>
                <w:sz w:val="20"/>
                <w:szCs w:val="20"/>
                <w:lang w:val="en-GB" w:eastAsia="ro-RO"/>
              </w:rPr>
              <w:t>Birocrație</w:t>
            </w:r>
            <w:r w:rsidR="008F0B70"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8F0B70" w:rsidRPr="008F0B70">
              <w:rPr>
                <w:rStyle w:val="y2iqfc"/>
                <w:rFonts w:asciiTheme="majorHAnsi" w:hAnsiTheme="majorHAnsi"/>
                <w:bCs/>
                <w:color w:val="202124"/>
                <w:sz w:val="20"/>
                <w:szCs w:val="20"/>
                <w:lang w:val="en-GB"/>
              </w:rPr>
              <w:t>LipsăStimulenteFin</w:t>
            </w:r>
            <w:r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8F0B70" w:rsidRPr="008F0B70">
              <w:rPr>
                <w:rStyle w:val="y2iqfc"/>
                <w:rFonts w:asciiTheme="majorHAnsi" w:hAnsiTheme="majorHAnsi"/>
                <w:bCs/>
                <w:color w:val="202124"/>
                <w:sz w:val="20"/>
                <w:szCs w:val="20"/>
                <w:lang w:val="en-GB"/>
              </w:rPr>
              <w:t>LipsăInformare</w:t>
            </w:r>
            <w:r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8F0B70" w:rsidRPr="008F0B70">
              <w:rPr>
                <w:rStyle w:val="y2iqfc"/>
                <w:rFonts w:asciiTheme="majorHAnsi" w:hAnsiTheme="majorHAnsi"/>
                <w:bCs/>
                <w:color w:val="202124"/>
                <w:sz w:val="20"/>
                <w:szCs w:val="20"/>
                <w:lang w:val="en-GB"/>
              </w:rPr>
              <w:t>InfrastrDeficitară</w:t>
            </w:r>
            <w:r w:rsidRP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, </w:t>
            </w:r>
            <w:r w:rsidR="008F0B70" w:rsidRPr="008F0B70">
              <w:rPr>
                <w:rFonts w:asciiTheme="majorHAnsi" w:hAnsiTheme="majorHAnsi"/>
                <w:bCs/>
                <w:color w:val="000000"/>
                <w:sz w:val="20"/>
                <w:szCs w:val="20"/>
                <w:lang w:val="en-GB"/>
              </w:rPr>
              <w:t>LegiDeficitare</w:t>
            </w:r>
          </w:p>
        </w:tc>
      </w:tr>
      <w:tr w:rsidR="001A6759" w:rsidRPr="00C368B2" w:rsidTr="0072528A">
        <w:trPr>
          <w:cantSplit/>
        </w:trPr>
        <w:tc>
          <w:tcPr>
            <w:tcW w:w="7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A6759" w:rsidRPr="00C368B2" w:rsidRDefault="001A6759" w:rsidP="008F0B70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</w:pP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b. </w:t>
            </w:r>
            <w:r w:rsid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Variabilă 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Dependent</w:t>
            </w:r>
            <w:r w:rsid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ă</w:t>
            </w:r>
            <w:r w:rsidRPr="00C368B2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 xml:space="preserve">: </w:t>
            </w:r>
            <w:r w:rsidR="008F0B70">
              <w:rPr>
                <w:rFonts w:asciiTheme="majorHAnsi" w:hAnsiTheme="majorHAnsi"/>
                <w:color w:val="000000"/>
                <w:sz w:val="20"/>
                <w:szCs w:val="20"/>
                <w:lang w:val="en-GB"/>
              </w:rPr>
              <w:t>PompăCăldură</w:t>
            </w:r>
          </w:p>
        </w:tc>
      </w:tr>
    </w:tbl>
    <w:p w:rsidR="001A6759" w:rsidRDefault="001A6759" w:rsidP="001A6759">
      <w:pPr>
        <w:spacing w:after="0" w:line="240" w:lineRule="auto"/>
        <w:jc w:val="right"/>
        <w:rPr>
          <w:rFonts w:asciiTheme="majorHAnsi" w:hAnsiTheme="majorHAnsi" w:cs="Times New Roman"/>
          <w:lang w:val="en-GB"/>
        </w:rPr>
      </w:pPr>
      <w:r w:rsidRPr="00AD23FB">
        <w:rPr>
          <w:rFonts w:asciiTheme="majorHAnsi" w:hAnsiTheme="majorHAnsi" w:cs="Times New Roman"/>
          <w:lang w:val="en-GB"/>
        </w:rPr>
        <w:t>S</w:t>
      </w:r>
      <w:r w:rsidR="008F0B70">
        <w:rPr>
          <w:rFonts w:asciiTheme="majorHAnsi" w:hAnsiTheme="majorHAnsi" w:cs="Times New Roman"/>
          <w:lang w:val="en-GB"/>
        </w:rPr>
        <w:t>ursă</w:t>
      </w:r>
      <w:r w:rsidRPr="00AD23FB">
        <w:rPr>
          <w:rFonts w:asciiTheme="majorHAnsi" w:hAnsiTheme="majorHAnsi" w:cs="Times New Roman"/>
          <w:lang w:val="en-GB"/>
        </w:rPr>
        <w:t xml:space="preserve">: </w:t>
      </w:r>
      <w:r w:rsidR="008F0B70">
        <w:rPr>
          <w:rFonts w:asciiTheme="majorHAnsi" w:hAnsiTheme="majorHAnsi" w:cs="Times New Roman"/>
          <w:lang w:val="en-GB"/>
        </w:rPr>
        <w:t>Cercetarea autorilor</w:t>
      </w:r>
      <w:r w:rsidRPr="00AD23FB">
        <w:rPr>
          <w:rFonts w:asciiTheme="majorHAnsi" w:hAnsiTheme="majorHAnsi" w:cs="Times New Roman"/>
          <w:lang w:val="en-GB"/>
        </w:rPr>
        <w:t>.</w:t>
      </w:r>
    </w:p>
    <w:p w:rsidR="008F0B70" w:rsidRDefault="008F0B70" w:rsidP="008F0B70">
      <w:pPr>
        <w:spacing w:after="0" w:line="240" w:lineRule="auto"/>
        <w:rPr>
          <w:rFonts w:asciiTheme="majorHAnsi" w:hAnsiTheme="majorHAnsi" w:cs="Times New Roman"/>
          <w:lang w:val="en-GB"/>
        </w:rPr>
      </w:pPr>
    </w:p>
    <w:p w:rsidR="008F0B70" w:rsidRPr="00C45592" w:rsidRDefault="00C45592" w:rsidP="00C45592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5592">
        <w:rPr>
          <w:rFonts w:ascii="Times New Roman" w:hAnsi="Times New Roman" w:cs="Times New Roman"/>
          <w:sz w:val="24"/>
          <w:szCs w:val="24"/>
          <w:lang w:val="en-GB"/>
        </w:rPr>
        <w:lastRenderedPageBreak/>
        <w:t>Conform rezultatelor obținute din modelul de regresie</w:t>
      </w:r>
      <w:r w:rsidR="008F0B70" w:rsidRPr="00C45592">
        <w:rPr>
          <w:rFonts w:ascii="Times New Roman" w:hAnsi="Times New Roman" w:cs="Times New Roman"/>
          <w:sz w:val="24"/>
          <w:szCs w:val="24"/>
          <w:lang w:val="en-GB"/>
        </w:rPr>
        <w:t>, variabilele independente investigate explică 13</w:t>
      </w:r>
      <w:proofErr w:type="gramStart"/>
      <w:r w:rsidR="008F0B70" w:rsidRPr="00C45592">
        <w:rPr>
          <w:rFonts w:ascii="Times New Roman" w:hAnsi="Times New Roman" w:cs="Times New Roman"/>
          <w:sz w:val="24"/>
          <w:szCs w:val="24"/>
          <w:lang w:val="en-GB"/>
        </w:rPr>
        <w:t>,5</w:t>
      </w:r>
      <w:proofErr w:type="gramEnd"/>
      <w:r w:rsidR="008F0B70" w:rsidRPr="00C45592">
        <w:rPr>
          <w:rFonts w:ascii="Times New Roman" w:hAnsi="Times New Roman" w:cs="Times New Roman"/>
          <w:sz w:val="24"/>
          <w:szCs w:val="24"/>
          <w:lang w:val="en-GB"/>
        </w:rPr>
        <w:t xml:space="preserve">% din </w:t>
      </w:r>
      <w:r w:rsidRPr="00C45592">
        <w:rPr>
          <w:rFonts w:ascii="Times New Roman" w:hAnsi="Times New Roman" w:cs="Times New Roman"/>
          <w:sz w:val="24"/>
          <w:szCs w:val="24"/>
          <w:lang w:val="en-GB"/>
        </w:rPr>
        <w:t>intenți</w:t>
      </w:r>
      <w:r w:rsidR="008F0B70" w:rsidRPr="00C45592">
        <w:rPr>
          <w:rFonts w:ascii="Times New Roman" w:hAnsi="Times New Roman" w:cs="Times New Roman"/>
          <w:sz w:val="24"/>
          <w:szCs w:val="24"/>
          <w:lang w:val="en-GB"/>
        </w:rPr>
        <w:t xml:space="preserve"> de adoptare a pompelor de căldură de către proprietari și rezidenți.</w:t>
      </w:r>
    </w:p>
    <w:p w:rsidR="008F0B70" w:rsidRDefault="008D376B" w:rsidP="00C45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D376B">
        <w:rPr>
          <w:rFonts w:ascii="Times New Roman" w:hAnsi="Times New Roman" w:cs="Times New Roman"/>
          <w:sz w:val="24"/>
          <w:szCs w:val="24"/>
          <w:lang w:val="en-GB"/>
        </w:rPr>
        <w:t xml:space="preserve">Modelul de regresie </w:t>
      </w:r>
      <w:proofErr w:type="gramStart"/>
      <w:r w:rsidRPr="008D376B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 w:rsidRPr="008D376B">
        <w:rPr>
          <w:rFonts w:ascii="Times New Roman" w:hAnsi="Times New Roman" w:cs="Times New Roman"/>
          <w:sz w:val="24"/>
          <w:szCs w:val="24"/>
          <w:lang w:val="en-GB"/>
        </w:rPr>
        <w:t xml:space="preserve"> semnificativ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dpdv. </w:t>
      </w:r>
      <w:proofErr w:type="gramStart"/>
      <w:r w:rsidRPr="008D376B">
        <w:rPr>
          <w:rFonts w:ascii="Times New Roman" w:hAnsi="Times New Roman" w:cs="Times New Roman"/>
          <w:sz w:val="24"/>
          <w:szCs w:val="24"/>
          <w:lang w:val="en-GB"/>
        </w:rPr>
        <w:t>statistic</w:t>
      </w:r>
      <w:proofErr w:type="gramEnd"/>
      <w:r w:rsidRPr="008D376B">
        <w:rPr>
          <w:rFonts w:ascii="Times New Roman" w:hAnsi="Times New Roman" w:cs="Times New Roman"/>
          <w:sz w:val="24"/>
          <w:szCs w:val="24"/>
          <w:lang w:val="en-GB"/>
        </w:rPr>
        <w:t>, așa cum este ilustrat de valoarea lui F de 8,462 la un ni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vel de semnificație Sig.= 0. </w:t>
      </w:r>
      <w:r w:rsidRPr="008D376B">
        <w:rPr>
          <w:rFonts w:ascii="Times New Roman" w:hAnsi="Times New Roman" w:cs="Times New Roman"/>
          <w:sz w:val="24"/>
          <w:szCs w:val="24"/>
          <w:lang w:val="en-GB"/>
        </w:rPr>
        <w:t>La un nivel de semnificație Sig</w:t>
      </w:r>
      <w:proofErr w:type="gramStart"/>
      <w:r w:rsidRPr="008D376B">
        <w:rPr>
          <w:rFonts w:ascii="Times New Roman" w:hAnsi="Times New Roman" w:cs="Times New Roman"/>
          <w:sz w:val="24"/>
          <w:szCs w:val="24"/>
          <w:lang w:val="en-GB"/>
        </w:rPr>
        <w:t>.&lt;</w:t>
      </w:r>
      <w:proofErr w:type="gramEnd"/>
      <w:r w:rsidRPr="008D376B">
        <w:rPr>
          <w:rFonts w:ascii="Times New Roman" w:hAnsi="Times New Roman" w:cs="Times New Roman"/>
          <w:sz w:val="24"/>
          <w:szCs w:val="24"/>
          <w:lang w:val="en-GB"/>
        </w:rPr>
        <w:t xml:space="preserve">0,01, variabilele legate de lipsa de informații în domeniul performanței energetice și stimulentele fiscale slabe sunt semnificative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dpdv. </w:t>
      </w:r>
      <w:proofErr w:type="gramStart"/>
      <w:r w:rsidRPr="008D376B">
        <w:rPr>
          <w:rFonts w:ascii="Times New Roman" w:hAnsi="Times New Roman" w:cs="Times New Roman"/>
          <w:sz w:val="24"/>
          <w:szCs w:val="24"/>
          <w:lang w:val="en-GB"/>
        </w:rPr>
        <w:t>statistic</w:t>
      </w:r>
      <w:proofErr w:type="gramEnd"/>
      <w:r w:rsidRPr="008D376B">
        <w:rPr>
          <w:rFonts w:ascii="Times New Roman" w:hAnsi="Times New Roman" w:cs="Times New Roman"/>
          <w:sz w:val="24"/>
          <w:szCs w:val="24"/>
          <w:lang w:val="en-GB"/>
        </w:rPr>
        <w:t xml:space="preserve">, în timp ce variabila Birocrație este semnificativă statistic </w:t>
      </w:r>
      <w:r>
        <w:rPr>
          <w:rFonts w:ascii="Times New Roman" w:hAnsi="Times New Roman" w:cs="Times New Roman"/>
          <w:sz w:val="24"/>
          <w:szCs w:val="24"/>
          <w:lang w:val="en-GB"/>
        </w:rPr>
        <w:t>pentru</w:t>
      </w:r>
      <w:r w:rsidRPr="008D376B">
        <w:rPr>
          <w:rFonts w:ascii="Times New Roman" w:hAnsi="Times New Roman" w:cs="Times New Roman"/>
          <w:sz w:val="24"/>
          <w:szCs w:val="24"/>
          <w:lang w:val="en-GB"/>
        </w:rPr>
        <w:t xml:space="preserve"> Sig.&lt;0,05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 xml:space="preserve">  (Tabelul 3)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>Celelalte variabile nu joac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>ă</w:t>
      </w:r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>un</w:t>
      </w:r>
      <w:proofErr w:type="gramEnd"/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 xml:space="preserve"> rol 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 xml:space="preserve">important </w:t>
      </w:r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>în intenția consumatorilor de a adopta sau nu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 xml:space="preserve"> si</w:t>
      </w:r>
      <w:r w:rsidR="00AD372B">
        <w:rPr>
          <w:rFonts w:ascii="Times New Roman" w:hAnsi="Times New Roman" w:cs="Times New Roman"/>
          <w:sz w:val="24"/>
          <w:szCs w:val="24"/>
          <w:lang w:val="en-GB"/>
        </w:rPr>
        <w:t>s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 xml:space="preserve">temele </w:t>
      </w:r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>tehnologi</w:t>
      </w:r>
      <w:r w:rsidR="00AB4135">
        <w:rPr>
          <w:rFonts w:ascii="Times New Roman" w:hAnsi="Times New Roman" w:cs="Times New Roman"/>
          <w:sz w:val="24"/>
          <w:szCs w:val="24"/>
          <w:lang w:val="en-GB"/>
        </w:rPr>
        <w:t>ce integrate bazate pe</w:t>
      </w:r>
      <w:r w:rsidR="00AB4135" w:rsidRPr="00AB4135">
        <w:rPr>
          <w:rFonts w:ascii="Times New Roman" w:hAnsi="Times New Roman" w:cs="Times New Roman"/>
          <w:sz w:val="24"/>
          <w:szCs w:val="24"/>
          <w:lang w:val="en-GB"/>
        </w:rPr>
        <w:t xml:space="preserve"> pompe de căldură pentru încălzirea sau răcirea locuințelor.</w:t>
      </w:r>
    </w:p>
    <w:p w:rsidR="002D7497" w:rsidRDefault="002D7497" w:rsidP="00C45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2D7497" w:rsidRDefault="002D7497" w:rsidP="002D7497">
      <w:pPr>
        <w:spacing w:after="0" w:line="240" w:lineRule="auto"/>
        <w:jc w:val="both"/>
        <w:rPr>
          <w:lang w:val="en-GB"/>
        </w:rPr>
      </w:pPr>
    </w:p>
    <w:p w:rsidR="002D7497" w:rsidRPr="002D7497" w:rsidRDefault="002D7497" w:rsidP="002D7497">
      <w:pPr>
        <w:tabs>
          <w:tab w:val="left" w:pos="6535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  <w:lang w:val="en-GB"/>
        </w:rPr>
      </w:pPr>
      <w:r w:rsidRPr="002D7497">
        <w:rPr>
          <w:rFonts w:ascii="Times New Roman" w:hAnsi="Times New Roman" w:cs="Times New Roman"/>
          <w:iCs/>
          <w:sz w:val="24"/>
          <w:szCs w:val="24"/>
          <w:lang w:val="en-GB"/>
        </w:rPr>
        <w:t>Tabelul 3. Coeficienti pentru obstacolele în calea implementării sistemelor tehnologice integrate bazate pe pompe de căldură</w:t>
      </w:r>
    </w:p>
    <w:tbl>
      <w:tblPr>
        <w:tblW w:w="9375" w:type="dxa"/>
        <w:tblInd w:w="-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710"/>
        <w:gridCol w:w="810"/>
        <w:gridCol w:w="990"/>
        <w:gridCol w:w="1440"/>
        <w:gridCol w:w="900"/>
        <w:gridCol w:w="990"/>
        <w:gridCol w:w="1080"/>
        <w:gridCol w:w="990"/>
      </w:tblGrid>
      <w:tr w:rsidR="002D7497" w:rsidRPr="00C368B2" w:rsidTr="002D7497">
        <w:trPr>
          <w:cantSplit/>
          <w:trHeight w:val="413"/>
        </w:trPr>
        <w:tc>
          <w:tcPr>
            <w:tcW w:w="2175" w:type="dxa"/>
            <w:gridSpan w:val="2"/>
            <w:vMerge w:val="restart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Model</w:t>
            </w:r>
          </w:p>
        </w:tc>
        <w:tc>
          <w:tcPr>
            <w:tcW w:w="1800" w:type="dxa"/>
            <w:gridSpan w:val="2"/>
            <w:shd w:val="clear" w:color="auto" w:fill="FFFFFF"/>
          </w:tcPr>
          <w:p w:rsidR="002D7497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  <w:t>Coeficienti nestandardizați</w:t>
            </w:r>
          </w:p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shd w:val="clear" w:color="auto" w:fill="FFFFFF"/>
          </w:tcPr>
          <w:p w:rsidR="002D7497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  <w:t>Coeficienti standardizați</w:t>
            </w:r>
          </w:p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vMerge w:val="restart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t</w:t>
            </w:r>
          </w:p>
        </w:tc>
        <w:tc>
          <w:tcPr>
            <w:tcW w:w="990" w:type="dxa"/>
            <w:vMerge w:val="restart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Sig.</w:t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>
              <w:rPr>
                <w:rFonts w:ascii="Cambria" w:hAnsi="Cambria"/>
                <w:b/>
                <w:bCs/>
                <w:color w:val="000000"/>
                <w:lang w:val="en-GB"/>
              </w:rPr>
              <w:t>Col</w:t>
            </w: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in</w:t>
            </w:r>
            <w:r>
              <w:rPr>
                <w:rFonts w:ascii="Cambria" w:hAnsi="Cambria"/>
                <w:b/>
                <w:bCs/>
                <w:color w:val="000000"/>
                <w:lang w:val="en-GB"/>
              </w:rPr>
              <w:t>i</w:t>
            </w: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arit</w:t>
            </w:r>
            <w:r>
              <w:rPr>
                <w:rFonts w:ascii="Cambria" w:hAnsi="Cambria"/>
                <w:b/>
                <w:bCs/>
                <w:color w:val="000000"/>
                <w:lang w:val="en-GB"/>
              </w:rPr>
              <w:t>ate</w:t>
            </w: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 xml:space="preserve"> Statistic</w:t>
            </w:r>
            <w:r>
              <w:rPr>
                <w:rFonts w:ascii="Cambria" w:hAnsi="Cambria"/>
                <w:b/>
                <w:bCs/>
                <w:color w:val="000000"/>
                <w:lang w:val="en-GB"/>
              </w:rPr>
              <w:t>ă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2175" w:type="dxa"/>
            <w:gridSpan w:val="2"/>
            <w:vMerge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color w:val="000000"/>
                <w:lang w:val="en-GB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B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Err</w:t>
            </w:r>
            <w:r>
              <w:rPr>
                <w:rFonts w:ascii="Cambria" w:hAnsi="Cambria"/>
                <w:b/>
                <w:bCs/>
                <w:color w:val="000000"/>
                <w:lang w:val="en-GB"/>
              </w:rPr>
              <w:t>.Std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Beta</w:t>
            </w:r>
          </w:p>
        </w:tc>
        <w:tc>
          <w:tcPr>
            <w:tcW w:w="900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color w:val="000000"/>
                <w:lang w:val="en-GB"/>
              </w:rPr>
            </w:pPr>
          </w:p>
        </w:tc>
        <w:tc>
          <w:tcPr>
            <w:tcW w:w="990" w:type="dxa"/>
            <w:vMerge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b/>
                <w:bCs/>
                <w:color w:val="000000"/>
                <w:lang w:val="en-GB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sz w:val="19"/>
                <w:szCs w:val="19"/>
                <w:lang w:val="en-GB"/>
              </w:rPr>
            </w:pPr>
            <w:r>
              <w:rPr>
                <w:rFonts w:ascii="Cambria" w:hAnsi="Cambria"/>
                <w:b/>
                <w:bCs/>
                <w:color w:val="000000"/>
                <w:sz w:val="19"/>
                <w:szCs w:val="19"/>
                <w:lang w:val="en-GB"/>
              </w:rPr>
              <w:t>Toleranță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center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VIF</w:t>
            </w:r>
          </w:p>
        </w:tc>
      </w:tr>
      <w:tr w:rsidR="002D7497" w:rsidRPr="00C368B2" w:rsidTr="002D7497">
        <w:trPr>
          <w:cantSplit/>
          <w:trHeight w:val="278"/>
        </w:trPr>
        <w:tc>
          <w:tcPr>
            <w:tcW w:w="465" w:type="dxa"/>
            <w:vMerge w:val="restart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(Constant</w:t>
            </w:r>
            <w:r>
              <w:rPr>
                <w:rFonts w:ascii="Cambria" w:hAnsi="Cambria"/>
                <w:color w:val="000000"/>
                <w:lang w:val="en-GB"/>
              </w:rPr>
              <w:t>ă</w:t>
            </w:r>
            <w:r w:rsidRPr="00C368B2">
              <w:rPr>
                <w:rFonts w:ascii="Cambria" w:hAnsi="Cambria"/>
                <w:color w:val="000000"/>
                <w:lang w:val="en-GB"/>
              </w:rPr>
              <w:t>)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2.100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0.250</w:t>
            </w:r>
          </w:p>
        </w:tc>
        <w:tc>
          <w:tcPr>
            <w:tcW w:w="1440" w:type="dxa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en-GB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8.387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0.000</w:t>
            </w:r>
          </w:p>
        </w:tc>
        <w:tc>
          <w:tcPr>
            <w:tcW w:w="1080" w:type="dxa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en-GB"/>
              </w:rPr>
            </w:pPr>
          </w:p>
        </w:tc>
        <w:tc>
          <w:tcPr>
            <w:tcW w:w="990" w:type="dxa"/>
            <w:shd w:val="clear" w:color="auto" w:fill="FFFFFF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en-GB"/>
              </w:rPr>
            </w:pP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B</w:t>
            </w:r>
            <w:r>
              <w:rPr>
                <w:rFonts w:ascii="Cambria" w:hAnsi="Cambria"/>
                <w:color w:val="000000"/>
                <w:lang w:val="en-GB"/>
              </w:rPr>
              <w:t>irocrație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0.104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0.053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0.124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1.965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0.050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0.569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72528A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1.757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LegiDeficitare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-0.079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0.061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-0.086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-1.293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0.197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0.507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1.971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  <w:t>Finanțare.Deficitară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0.042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0.045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0.051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0.918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0.359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0.736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1.359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LipsăExperți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0.011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0.045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0.014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0.246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0.806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0.713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1.403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LipsăInformare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0.148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0.054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0.161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2.764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0.006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0.668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1.498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InfrastrDeficitară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0.038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0.051</w:t>
            </w:r>
          </w:p>
        </w:tc>
        <w:tc>
          <w:tcPr>
            <w:tcW w:w="144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0.043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0.737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0.461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0.665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1.503</w:t>
            </w:r>
          </w:p>
        </w:tc>
      </w:tr>
      <w:tr w:rsidR="002D7497" w:rsidRPr="00C368B2" w:rsidTr="002D7497">
        <w:trPr>
          <w:cantSplit/>
          <w:trHeight w:val="124"/>
        </w:trPr>
        <w:tc>
          <w:tcPr>
            <w:tcW w:w="465" w:type="dxa"/>
            <w:vMerge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color w:val="000000"/>
                <w:lang w:val="en-GB"/>
              </w:rPr>
            </w:pPr>
          </w:p>
        </w:tc>
        <w:tc>
          <w:tcPr>
            <w:tcW w:w="17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637575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rPr>
                <w:rFonts w:asciiTheme="majorHAnsi" w:hAnsiTheme="majorHAnsi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Style w:val="y2iqfc"/>
                <w:rFonts w:asciiTheme="majorHAnsi" w:hAnsiTheme="majorHAnsi"/>
                <w:b/>
                <w:bCs/>
                <w:color w:val="202124"/>
                <w:sz w:val="20"/>
                <w:szCs w:val="20"/>
                <w:lang w:val="en-GB"/>
              </w:rPr>
              <w:t>LipsăStimulenteFis</w:t>
            </w: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0.164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0.056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0.182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2.935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b/>
                <w:bCs/>
                <w:color w:val="000000"/>
                <w:lang w:val="en-GB"/>
              </w:rPr>
            </w:pPr>
            <w:r w:rsidRPr="00C368B2">
              <w:rPr>
                <w:rFonts w:ascii="Cambria" w:hAnsi="Cambria"/>
                <w:b/>
                <w:bCs/>
                <w:color w:val="000000"/>
                <w:lang w:val="en-GB"/>
              </w:rPr>
              <w:t>0.004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0.592</w:t>
            </w:r>
          </w:p>
        </w:tc>
        <w:tc>
          <w:tcPr>
            <w:tcW w:w="990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2D7497" w:rsidRPr="00C368B2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left="60" w:right="60"/>
              <w:jc w:val="right"/>
              <w:rPr>
                <w:rFonts w:ascii="Cambria" w:hAnsi="Cambria"/>
                <w:color w:val="000000"/>
                <w:lang w:val="en-GB"/>
              </w:rPr>
            </w:pPr>
            <w:r w:rsidRPr="00C368B2">
              <w:rPr>
                <w:rFonts w:ascii="Cambria" w:hAnsi="Cambria"/>
                <w:color w:val="000000"/>
                <w:lang w:val="en-GB"/>
              </w:rPr>
              <w:t>1.691</w:t>
            </w:r>
          </w:p>
        </w:tc>
      </w:tr>
      <w:tr w:rsidR="002D7497" w:rsidRPr="002D7497" w:rsidTr="002D7497">
        <w:trPr>
          <w:gridAfter w:val="4"/>
          <w:wAfter w:w="3960" w:type="dxa"/>
          <w:cantSplit/>
          <w:trHeight w:val="278"/>
        </w:trPr>
        <w:tc>
          <w:tcPr>
            <w:tcW w:w="54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D7497" w:rsidRPr="002D7497" w:rsidRDefault="002D7497" w:rsidP="002D7497">
            <w:pPr>
              <w:autoSpaceDE w:val="0"/>
              <w:autoSpaceDN w:val="0"/>
              <w:adjustRightInd w:val="0"/>
              <w:spacing w:after="0" w:line="240" w:lineRule="auto"/>
              <w:ind w:right="60"/>
              <w:rPr>
                <w:rFonts w:ascii="Cambria" w:hAnsi="Cambria"/>
                <w:color w:val="000000"/>
                <w:sz w:val="20"/>
                <w:szCs w:val="20"/>
                <w:lang w:val="en-GB"/>
              </w:rPr>
            </w:pPr>
            <w:r w:rsidRPr="002D7497">
              <w:rPr>
                <w:rFonts w:ascii="Cambria" w:hAnsi="Cambria"/>
                <w:color w:val="000000"/>
                <w:sz w:val="20"/>
                <w:szCs w:val="20"/>
                <w:lang w:val="en-GB"/>
              </w:rPr>
              <w:t>Variabilă Dependentă: PompăCăldură</w:t>
            </w:r>
          </w:p>
        </w:tc>
      </w:tr>
    </w:tbl>
    <w:p w:rsidR="002D7497" w:rsidRDefault="002D7497" w:rsidP="002D7497">
      <w:pPr>
        <w:spacing w:after="0" w:line="240" w:lineRule="auto"/>
        <w:jc w:val="right"/>
        <w:rPr>
          <w:rFonts w:asciiTheme="majorHAnsi" w:hAnsiTheme="majorHAnsi" w:cs="Times New Roman"/>
          <w:lang w:val="en-GB"/>
        </w:rPr>
      </w:pPr>
      <w:r w:rsidRPr="00AD23FB">
        <w:rPr>
          <w:rFonts w:asciiTheme="majorHAnsi" w:hAnsiTheme="majorHAnsi" w:cs="Times New Roman"/>
          <w:lang w:val="en-GB"/>
        </w:rPr>
        <w:t>Sur</w:t>
      </w:r>
      <w:r>
        <w:rPr>
          <w:rFonts w:asciiTheme="majorHAnsi" w:hAnsiTheme="majorHAnsi" w:cs="Times New Roman"/>
          <w:lang w:val="en-GB"/>
        </w:rPr>
        <w:t>să</w:t>
      </w:r>
      <w:r w:rsidRPr="00AD23FB">
        <w:rPr>
          <w:rFonts w:asciiTheme="majorHAnsi" w:hAnsiTheme="majorHAnsi" w:cs="Times New Roman"/>
          <w:lang w:val="en-GB"/>
        </w:rPr>
        <w:t xml:space="preserve">: </w:t>
      </w:r>
      <w:r>
        <w:rPr>
          <w:rFonts w:asciiTheme="majorHAnsi" w:hAnsiTheme="majorHAnsi" w:cs="Times New Roman"/>
          <w:lang w:val="en-GB"/>
        </w:rPr>
        <w:t>Cercetarea autorilor</w:t>
      </w:r>
      <w:r w:rsidRPr="00AD23FB">
        <w:rPr>
          <w:rFonts w:asciiTheme="majorHAnsi" w:hAnsiTheme="majorHAnsi" w:cs="Times New Roman"/>
          <w:lang w:val="en-GB"/>
        </w:rPr>
        <w:t>.</w:t>
      </w:r>
    </w:p>
    <w:p w:rsidR="002D7497" w:rsidRDefault="002D7497" w:rsidP="002D7497">
      <w:pPr>
        <w:spacing w:after="0" w:line="240" w:lineRule="auto"/>
        <w:jc w:val="right"/>
        <w:rPr>
          <w:rFonts w:asciiTheme="majorHAnsi" w:hAnsiTheme="majorHAnsi" w:cs="Times New Roman"/>
          <w:lang w:val="en-GB"/>
        </w:rPr>
      </w:pPr>
    </w:p>
    <w:p w:rsidR="002D7497" w:rsidRPr="005C3778" w:rsidRDefault="0072528A" w:rsidP="005C377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682C0F">
        <w:rPr>
          <w:rFonts w:ascii="Times New Roman" w:hAnsi="Times New Roman" w:cs="Times New Roman"/>
          <w:sz w:val="24"/>
          <w:szCs w:val="24"/>
          <w:lang w:val="en-GB"/>
        </w:rPr>
        <w:t>Analizând coeficienții de regresie, putem afirma că ce</w:t>
      </w:r>
      <w:r w:rsidR="00637575" w:rsidRPr="00682C0F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 mai </w:t>
      </w:r>
      <w:r w:rsidR="00637575"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influent obstacol în calea implementării sistemelor tehnologice integrate bazate pe pompe de căldură </w:t>
      </w:r>
      <w:proofErr w:type="gramStart"/>
      <w:r w:rsidR="00637575" w:rsidRPr="00682C0F">
        <w:rPr>
          <w:rFonts w:ascii="Times New Roman" w:hAnsi="Times New Roman" w:cs="Times New Roman"/>
          <w:sz w:val="24"/>
          <w:szCs w:val="24"/>
          <w:lang w:val="en-GB"/>
        </w:rPr>
        <w:t>este</w:t>
      </w:r>
      <w:proofErr w:type="gramEnd"/>
      <w:r w:rsidR="00637575"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 reprezentat de </w:t>
      </w:r>
      <w:r w:rsidRPr="00682C0F">
        <w:rPr>
          <w:rFonts w:ascii="Times New Roman" w:hAnsi="Times New Roman" w:cs="Times New Roman"/>
          <w:sz w:val="24"/>
          <w:szCs w:val="24"/>
          <w:lang w:val="en-GB"/>
        </w:rPr>
        <w:t>lipsa stimulentelor fiscale (</w:t>
      </w:r>
      <w:r w:rsidR="00637575" w:rsidRPr="00682C0F">
        <w:rPr>
          <w:rStyle w:val="y2iqfc"/>
          <w:rFonts w:ascii="Times New Roman" w:hAnsi="Times New Roman" w:cs="Times New Roman"/>
          <w:bCs/>
          <w:sz w:val="24"/>
          <w:szCs w:val="24"/>
          <w:lang w:val="en-GB"/>
        </w:rPr>
        <w:t>LipsăStimulenteFis</w:t>
      </w:r>
      <w:r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r w:rsidR="00682C0F"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fiind </w:t>
      </w:r>
      <w:r w:rsidRPr="00682C0F">
        <w:rPr>
          <w:rFonts w:ascii="Times New Roman" w:hAnsi="Times New Roman" w:cs="Times New Roman"/>
          <w:sz w:val="24"/>
          <w:szCs w:val="24"/>
          <w:lang w:val="en-GB"/>
        </w:rPr>
        <w:t xml:space="preserve">urmat de slaba informare în domeniul 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>performanței energetice (</w:t>
      </w:r>
      <w:r w:rsidR="00682C0F" w:rsidRPr="005C3778">
        <w:rPr>
          <w:rStyle w:val="y2iqfc"/>
          <w:rFonts w:ascii="Times New Roman" w:hAnsi="Times New Roman" w:cs="Times New Roman"/>
          <w:bCs/>
          <w:sz w:val="24"/>
          <w:szCs w:val="24"/>
          <w:lang w:val="en-GB"/>
        </w:rPr>
        <w:t>LipsăInformare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) și </w:t>
      </w:r>
      <w:r w:rsidR="00682C0F"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de 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>birocrați</w:t>
      </w:r>
      <w:r w:rsidR="00682C0F" w:rsidRPr="005C3778">
        <w:rPr>
          <w:rFonts w:ascii="Times New Roman" w:hAnsi="Times New Roman" w:cs="Times New Roman"/>
          <w:sz w:val="24"/>
          <w:szCs w:val="24"/>
          <w:lang w:val="en-GB"/>
        </w:rPr>
        <w:t>a exagerată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 (Birocrație).</w:t>
      </w:r>
    </w:p>
    <w:p w:rsidR="002D7497" w:rsidRPr="005C3778" w:rsidRDefault="005C3778" w:rsidP="005C377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O altă constatare a cercetării noastre a arătat că furnizarea slabă a informațiilor privind eficiența energetică și performanța </w:t>
      </w:r>
      <w:r w:rsidR="00FD4B05">
        <w:rPr>
          <w:rFonts w:ascii="Times New Roman" w:hAnsi="Times New Roman" w:cs="Times New Roman"/>
          <w:sz w:val="24"/>
          <w:szCs w:val="24"/>
          <w:lang w:val="en-GB"/>
        </w:rPr>
        <w:t xml:space="preserve">sistemelor 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>tehnolog</w:t>
      </w:r>
      <w:r w:rsidR="00FD4B05">
        <w:rPr>
          <w:rFonts w:ascii="Times New Roman" w:hAnsi="Times New Roman" w:cs="Times New Roman"/>
          <w:sz w:val="24"/>
          <w:szCs w:val="24"/>
          <w:lang w:val="en-GB"/>
        </w:rPr>
        <w:t>e integrate bazate pe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 pompe de căldură influențează negativ percepția cetățenilor cu privire la intenția lor de a adopta </w:t>
      </w:r>
      <w:r w:rsidR="00FD4B05">
        <w:rPr>
          <w:rFonts w:ascii="Times New Roman" w:hAnsi="Times New Roman" w:cs="Times New Roman"/>
          <w:sz w:val="24"/>
          <w:szCs w:val="24"/>
          <w:lang w:val="en-GB"/>
        </w:rPr>
        <w:t>un asemenea system tehnologic</w:t>
      </w:r>
      <w:r w:rsidRPr="005C3778">
        <w:rPr>
          <w:rFonts w:ascii="Times New Roman" w:hAnsi="Times New Roman" w:cs="Times New Roman"/>
          <w:sz w:val="24"/>
          <w:szCs w:val="24"/>
          <w:lang w:val="en-GB"/>
        </w:rPr>
        <w:t xml:space="preserve"> și, în plus, crește reticența acestora față de implementarea tehnologiei în locuința lor.</w:t>
      </w:r>
    </w:p>
    <w:p w:rsidR="002D7497" w:rsidRDefault="002D7497" w:rsidP="00C45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8D376B" w:rsidRPr="00FD4B05" w:rsidRDefault="00776927" w:rsidP="0077692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FD4B05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>Concluzii</w:t>
      </w:r>
    </w:p>
    <w:p w:rsidR="00776927" w:rsidRDefault="00776927" w:rsidP="007769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Acest studiu a demonstrat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faptul </w:t>
      </w:r>
      <w:r w:rsidRPr="00776927">
        <w:rPr>
          <w:rFonts w:ascii="Times New Roman" w:hAnsi="Times New Roman" w:cs="Times New Roman"/>
          <w:sz w:val="24"/>
          <w:szCs w:val="24"/>
          <w:lang w:val="en-GB"/>
        </w:rPr>
        <w:t>că disponibilitatea planurilor și strategiilor energetice de îmbunătățire a eficienței energetice și de reducere a consumului de energie, la nivel local sau regional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dublate de promovarea unor stimulente fiscal</w:t>
      </w:r>
      <w:r w:rsidR="008E4402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776927">
        <w:rPr>
          <w:rFonts w:ascii="Times New Roman" w:hAnsi="Times New Roman" w:cs="Times New Roman"/>
          <w:sz w:val="24"/>
          <w:szCs w:val="24"/>
          <w:lang w:val="en-GB"/>
        </w:rPr>
        <w:t>, va crește interesul cetățenilor pentru adoptarea sistem</w:t>
      </w:r>
      <w:r>
        <w:rPr>
          <w:rFonts w:ascii="Times New Roman" w:hAnsi="Times New Roman" w:cs="Times New Roman"/>
          <w:sz w:val="24"/>
          <w:szCs w:val="24"/>
          <w:lang w:val="en-GB"/>
        </w:rPr>
        <w:t>elor</w:t>
      </w:r>
      <w:r w:rsidRPr="0077692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tehnologice integrate bazate </w:t>
      </w:r>
      <w:r w:rsidRPr="00776927">
        <w:rPr>
          <w:rFonts w:ascii="Times New Roman" w:hAnsi="Times New Roman" w:cs="Times New Roman"/>
          <w:sz w:val="24"/>
          <w:szCs w:val="24"/>
          <w:lang w:val="en-GB"/>
        </w:rPr>
        <w:t>de pompe de căldură în gospodăriile lor pentru încălzirea menajeră, răcirea și producerea de apă caldă.</w:t>
      </w:r>
      <w:r w:rsidR="008803C1" w:rsidRPr="008803C1">
        <w:t xml:space="preserve"> </w:t>
      </w:r>
      <w:r w:rsidR="008803C1">
        <w:rPr>
          <w:rFonts w:ascii="Times New Roman" w:hAnsi="Times New Roman" w:cs="Times New Roman"/>
          <w:sz w:val="24"/>
          <w:szCs w:val="24"/>
          <w:lang w:val="en-GB"/>
        </w:rPr>
        <w:t>Trebuie menționat totuși faptul că</w:t>
      </w:r>
      <w:r w:rsidR="008803C1" w:rsidRPr="008803C1">
        <w:rPr>
          <w:rFonts w:ascii="Times New Roman" w:hAnsi="Times New Roman" w:cs="Times New Roman"/>
          <w:sz w:val="24"/>
          <w:szCs w:val="24"/>
          <w:lang w:val="en-GB"/>
        </w:rPr>
        <w:t xml:space="preserve">, în timp ce disponibilitatea stimulentelor fiscale și a deducerii fiscale nu acționează neapărat ca un motor pentru intenția de a adopta pompe de căldură de către proprietarii de </w:t>
      </w:r>
      <w:r w:rsidR="008803C1">
        <w:rPr>
          <w:rFonts w:ascii="Times New Roman" w:hAnsi="Times New Roman" w:cs="Times New Roman"/>
          <w:sz w:val="24"/>
          <w:szCs w:val="24"/>
          <w:lang w:val="en-GB"/>
        </w:rPr>
        <w:t>locuințe</w:t>
      </w:r>
      <w:r w:rsidR="008803C1" w:rsidRPr="008803C1">
        <w:rPr>
          <w:rFonts w:ascii="Times New Roman" w:hAnsi="Times New Roman" w:cs="Times New Roman"/>
          <w:sz w:val="24"/>
          <w:szCs w:val="24"/>
          <w:lang w:val="en-GB"/>
        </w:rPr>
        <w:t>, absența acestora ar putea influența negativ percepția rezidenților cu privire la valoarea și beneficiile acestei tehnologii.</w:t>
      </w:r>
    </w:p>
    <w:p w:rsidR="00804AE2" w:rsidRPr="00776927" w:rsidRDefault="00804AE2" w:rsidP="0077692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De asemenea, cercetarea efectuată indică necesitatea realizării unor noi </w:t>
      </w:r>
      <w:r w:rsidRPr="00804AE2">
        <w:rPr>
          <w:rFonts w:ascii="Times New Roman" w:hAnsi="Times New Roman" w:cs="Times New Roman"/>
          <w:sz w:val="24"/>
          <w:szCs w:val="24"/>
          <w:lang w:val="en-GB"/>
        </w:rPr>
        <w:t xml:space="preserve">campanii de informare și conștientizare legate de adoptarea de soluții verzi pentru producerea de energie, în special </w:t>
      </w:r>
      <w:r>
        <w:rPr>
          <w:rFonts w:ascii="Times New Roman" w:hAnsi="Times New Roman" w:cs="Times New Roman"/>
          <w:sz w:val="24"/>
          <w:szCs w:val="24"/>
          <w:lang w:val="en-GB"/>
        </w:rPr>
        <w:t>pentru sistemele tehnologice integrate bazate pe pompe de căldură, care</w:t>
      </w:r>
      <w:r w:rsidRPr="00804AE2">
        <w:rPr>
          <w:rFonts w:ascii="Times New Roman" w:hAnsi="Times New Roman" w:cs="Times New Roman"/>
          <w:sz w:val="24"/>
          <w:szCs w:val="24"/>
          <w:lang w:val="en-GB"/>
        </w:rPr>
        <w:t xml:space="preserve"> ar trebui lansate și mediatizate în spațiul public</w:t>
      </w:r>
      <w:r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8D376B" w:rsidRDefault="008D376B" w:rsidP="00C4559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91107E" w:rsidRPr="0091107E" w:rsidRDefault="0091107E" w:rsidP="0091107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91107E">
        <w:rPr>
          <w:rFonts w:ascii="Times New Roman" w:hAnsi="Times New Roman" w:cs="Times New Roman"/>
          <w:b/>
          <w:sz w:val="24"/>
          <w:szCs w:val="24"/>
          <w:lang w:val="en-GB"/>
        </w:rPr>
        <w:t>Bibliografie</w:t>
      </w:r>
    </w:p>
    <w:p w:rsidR="0091107E" w:rsidRPr="00325FBA" w:rsidRDefault="0091107E" w:rsidP="0091107E">
      <w:pPr>
        <w:pStyle w:val="Heading1"/>
        <w:ind w:firstLine="0"/>
        <w:rPr>
          <w:rFonts w:asciiTheme="majorHAnsi" w:hAnsiTheme="majorHAnsi"/>
          <w:lang w:val="en-GB"/>
        </w:rPr>
      </w:pPr>
    </w:p>
    <w:p w:rsidR="0091107E" w:rsidRPr="0091107E" w:rsidRDefault="0091107E" w:rsidP="0091107E">
      <w:pPr>
        <w:pStyle w:val="Bibliography"/>
        <w:rPr>
          <w:rStyle w:val="Hyperlink"/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</w:rPr>
        <w:t xml:space="preserve">Bai, S., Li, F., &amp; Xie, W. (2022). Green but Unpopular? Analysis on </w:t>
      </w:r>
      <w:r>
        <w:rPr>
          <w:rFonts w:ascii="Times New Roman" w:hAnsi="Times New Roman" w:cs="Times New Roman"/>
        </w:rPr>
        <w:t xml:space="preserve">Purchase Intention of Heat Pump </w:t>
      </w:r>
      <w:r w:rsidRPr="0091107E">
        <w:rPr>
          <w:rFonts w:ascii="Times New Roman" w:hAnsi="Times New Roman" w:cs="Times New Roman"/>
        </w:rPr>
        <w:t xml:space="preserve">Water Heaters in China. </w:t>
      </w:r>
      <w:r w:rsidRPr="0091107E">
        <w:rPr>
          <w:rFonts w:ascii="Times New Roman" w:hAnsi="Times New Roman" w:cs="Times New Roman"/>
          <w:i/>
          <w:iCs/>
        </w:rPr>
        <w:t>Energies</w:t>
      </w:r>
      <w:r w:rsidRPr="0091107E">
        <w:rPr>
          <w:rFonts w:ascii="Times New Roman" w:hAnsi="Times New Roman" w:cs="Times New Roman"/>
        </w:rPr>
        <w:t xml:space="preserve">, 15(7), 2464. </w:t>
      </w:r>
      <w:hyperlink r:id="rId11" w:history="1">
        <w:r w:rsidRPr="0091107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https://doi.org/10.3390/en15072464</w:t>
        </w:r>
      </w:hyperlink>
      <w:r w:rsidRPr="0091107E">
        <w:rPr>
          <w:rStyle w:val="Hyperlink"/>
          <w:rFonts w:ascii="Times New Roman" w:hAnsi="Times New Roman" w:cs="Times New Roman"/>
          <w:shd w:val="clear" w:color="auto" w:fill="FFFFFF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De Witte, M. (2022). Gen Z are not ‘coddled.’ They are highly collaborati</w:t>
      </w:r>
      <w:r>
        <w:rPr>
          <w:rFonts w:ascii="Times New Roman" w:hAnsi="Times New Roman" w:cs="Times New Roman"/>
        </w:rPr>
        <w:t xml:space="preserve">ve, self-reliant and pragmatic. </w:t>
      </w:r>
      <w:r w:rsidRPr="0091107E">
        <w:rPr>
          <w:rFonts w:ascii="Times New Roman" w:hAnsi="Times New Roman" w:cs="Times New Roman"/>
        </w:rPr>
        <w:t xml:space="preserve">Stanford’s Center for Advanced Study in the Behavioral Sciences (CASBS), Available at: </w:t>
      </w:r>
      <w:hyperlink r:id="rId12" w:history="1">
        <w:r w:rsidRPr="0091107E">
          <w:rPr>
            <w:rStyle w:val="Hyperlink"/>
            <w:rFonts w:ascii="Times New Roman" w:hAnsi="Times New Roman" w:cs="Times New Roman"/>
          </w:rPr>
          <w:t>https://news.stanford.edu/2022/01/03/know-gen-z/</w:t>
        </w:r>
      </w:hyperlink>
      <w:r w:rsidRPr="0091107E">
        <w:rPr>
          <w:rFonts w:ascii="Times New Roman" w:hAnsi="Times New Roman" w:cs="Times New Roman"/>
        </w:rPr>
        <w:t xml:space="preserve"> (Accessed 24</w:t>
      </w:r>
      <w:r w:rsidRPr="0091107E">
        <w:rPr>
          <w:rFonts w:ascii="Times New Roman" w:hAnsi="Times New Roman" w:cs="Times New Roman"/>
          <w:vertAlign w:val="superscript"/>
        </w:rPr>
        <w:t>th</w:t>
      </w:r>
      <w:r w:rsidRPr="0091107E">
        <w:rPr>
          <w:rFonts w:ascii="Times New Roman" w:hAnsi="Times New Roman" w:cs="Times New Roman"/>
        </w:rPr>
        <w:t xml:space="preserve"> March 2023).</w:t>
      </w:r>
      <w:bookmarkStart w:id="0" w:name="_Hlk142379690"/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Decuypere</w:t>
      </w:r>
      <w:bookmarkEnd w:id="0"/>
      <w:r w:rsidRPr="0091107E">
        <w:rPr>
          <w:rFonts w:ascii="Times New Roman" w:hAnsi="Times New Roman" w:cs="Times New Roman"/>
        </w:rPr>
        <w:t xml:space="preserve">, R., Robaeyst, B., Hudders, L., Baccarne, B., &amp; Van de Sompel, D. (2022). Transitioning to energy efficient housing: Drivers and barriers of intermediaries in heat pump technology. </w:t>
      </w:r>
      <w:r w:rsidRPr="0091107E">
        <w:rPr>
          <w:rFonts w:ascii="Times New Roman" w:hAnsi="Times New Roman" w:cs="Times New Roman"/>
          <w:i/>
          <w:iCs/>
        </w:rPr>
        <w:t>Energy Policy</w:t>
      </w:r>
      <w:r w:rsidRPr="0091107E">
        <w:rPr>
          <w:rFonts w:ascii="Times New Roman" w:hAnsi="Times New Roman" w:cs="Times New Roman"/>
        </w:rPr>
        <w:t xml:space="preserve">, 161, 112709. </w:t>
      </w:r>
      <w:hyperlink r:id="rId13" w:history="1">
        <w:r w:rsidRPr="0091107E">
          <w:rPr>
            <w:rStyle w:val="Hyperlink"/>
            <w:rFonts w:ascii="Times New Roman" w:hAnsi="Times New Roman" w:cs="Times New Roman"/>
          </w:rPr>
          <w:t>https://doi.org/10.1016/j.enpol.2021.112709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</w:rPr>
        <w:t xml:space="preserve">Dincă, V. M., Busu, M., &amp; Nagy-Bege, Z. (2022). Determinants with Impact on Romanian Consumers’ Energy-Saving Habits. Energies, 15(11), 4080. </w:t>
      </w:r>
      <w:hyperlink r:id="rId14" w:history="1">
        <w:r w:rsidRPr="0091107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https://doi.org/10.3390/en15114080</w:t>
        </w:r>
      </w:hyperlink>
      <w:bookmarkStart w:id="1" w:name="_Hlk142383656"/>
      <w:r w:rsidRPr="0091107E">
        <w:rPr>
          <w:rStyle w:val="Hyperlink"/>
          <w:rFonts w:ascii="Times New Roman" w:hAnsi="Times New Roman" w:cs="Times New Roman"/>
          <w:shd w:val="clear" w:color="auto" w:fill="FFFFFF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Dudka</w:t>
      </w:r>
      <w:bookmarkEnd w:id="1"/>
      <w:r w:rsidRPr="0091107E">
        <w:rPr>
          <w:rFonts w:ascii="Times New Roman" w:hAnsi="Times New Roman" w:cs="Times New Roman"/>
        </w:rPr>
        <w:t xml:space="preserve">, A., Moratal, N., &amp; Thomas Bauwens (2023). A typology of community-based energy citizenship: An analysis of the ownership structure and institutional logics of 164 energy communities in France. </w:t>
      </w:r>
      <w:r w:rsidRPr="0091107E">
        <w:rPr>
          <w:rFonts w:ascii="Times New Roman" w:hAnsi="Times New Roman" w:cs="Times New Roman"/>
          <w:i/>
          <w:iCs/>
        </w:rPr>
        <w:t>Energy Policy</w:t>
      </w:r>
      <w:r w:rsidRPr="0091107E">
        <w:rPr>
          <w:rFonts w:ascii="Times New Roman" w:hAnsi="Times New Roman" w:cs="Times New Roman"/>
        </w:rPr>
        <w:t xml:space="preserve">, 178, 113588. </w:t>
      </w:r>
      <w:hyperlink r:id="rId15" w:history="1">
        <w:r w:rsidRPr="0091107E">
          <w:rPr>
            <w:rStyle w:val="Hyperlink"/>
            <w:rFonts w:ascii="Times New Roman" w:hAnsi="Times New Roman" w:cs="Times New Roman"/>
          </w:rPr>
          <w:t>https://doi.org/10.1016/j.enpol.2023.113588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lang w:val="en-GB"/>
        </w:rPr>
      </w:pPr>
      <w:r w:rsidRPr="0091107E">
        <w:rPr>
          <w:rFonts w:ascii="Times New Roman" w:hAnsi="Times New Roman" w:cs="Times New Roman"/>
          <w:lang w:val="en-GB"/>
        </w:rPr>
        <w:t xml:space="preserve">Edgar, T.W., &amp; Manz, D.O. (2017). Chapter 4 - Exploratory Study. In: Research Methods for Cyber Security Editor(s): Edgar, T.W., &amp; Manz, D.O., Syngress, 95-130. </w:t>
      </w:r>
      <w:hyperlink r:id="rId16" w:history="1">
        <w:r w:rsidRPr="0091107E">
          <w:rPr>
            <w:rStyle w:val="Hyperlink"/>
            <w:rFonts w:ascii="Times New Roman" w:hAnsi="Times New Roman" w:cs="Times New Roman"/>
            <w:lang w:val="en-GB"/>
          </w:rPr>
          <w:t>https://doi.org/10.1016/B978-0-12-805349-2.00004-2</w:t>
        </w:r>
      </w:hyperlink>
      <w:r w:rsidRPr="0091107E">
        <w:rPr>
          <w:rFonts w:ascii="Times New Roman" w:hAnsi="Times New Roman" w:cs="Times New Roman"/>
          <w:lang w:val="en-GB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  <w:lang w:val="en-GB"/>
        </w:rPr>
      </w:pPr>
      <w:r w:rsidRPr="0091107E">
        <w:rPr>
          <w:rFonts w:ascii="Times New Roman" w:hAnsi="Times New Roman" w:cs="Times New Roman"/>
          <w:lang w:val="en-GB"/>
        </w:rPr>
        <w:t xml:space="preserve">European Commission (2019). The European Green Deal. Brussels, 11.12.2019 </w:t>
      </w:r>
      <w:proofErr w:type="gramStart"/>
      <w:r w:rsidRPr="0091107E">
        <w:rPr>
          <w:rFonts w:ascii="Times New Roman" w:hAnsi="Times New Roman" w:cs="Times New Roman"/>
          <w:lang w:val="en-GB"/>
        </w:rPr>
        <w:t>COM(</w:t>
      </w:r>
      <w:proofErr w:type="gramEnd"/>
      <w:r w:rsidRPr="0091107E">
        <w:rPr>
          <w:rFonts w:ascii="Times New Roman" w:hAnsi="Times New Roman" w:cs="Times New Roman"/>
          <w:lang w:val="en-GB"/>
        </w:rPr>
        <w:t xml:space="preserve">2019) 640 final </w:t>
      </w:r>
      <w:hyperlink r:id="rId17" w:history="1">
        <w:r w:rsidRPr="0091107E">
          <w:rPr>
            <w:rStyle w:val="Hyperlink"/>
            <w:rFonts w:ascii="Times New Roman" w:hAnsi="Times New Roman" w:cs="Times New Roman"/>
            <w:lang w:val="en-GB"/>
          </w:rPr>
          <w:t>resource.html (europa.eu)</w:t>
        </w:r>
      </w:hyperlink>
      <w:r w:rsidRPr="0091107E">
        <w:rPr>
          <w:rStyle w:val="Hyperlink"/>
          <w:rFonts w:ascii="Times New Roman" w:hAnsi="Times New Roman" w:cs="Times New Roman"/>
          <w:lang w:val="en-GB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</w:rPr>
        <w:lastRenderedPageBreak/>
        <w:t xml:space="preserve">European Commission (2021). </w:t>
      </w:r>
      <w:r w:rsidRPr="0091107E">
        <w:rPr>
          <w:rFonts w:ascii="Times New Roman" w:hAnsi="Times New Roman" w:cs="Times New Roman"/>
          <w:shd w:val="clear" w:color="auto" w:fill="FFFFFF"/>
        </w:rPr>
        <w:t xml:space="preserve">'Fit for 55': delivering the EU's 2030 Climate Target on the way to climate neutrality, 14.07.2021, </w:t>
      </w:r>
      <w:proofErr w:type="gramStart"/>
      <w:r w:rsidRPr="0091107E">
        <w:rPr>
          <w:rFonts w:ascii="Times New Roman" w:hAnsi="Times New Roman" w:cs="Times New Roman"/>
          <w:shd w:val="clear" w:color="auto" w:fill="FFFFFF"/>
        </w:rPr>
        <w:t>COM(</w:t>
      </w:r>
      <w:proofErr w:type="gramEnd"/>
      <w:r w:rsidRPr="0091107E">
        <w:rPr>
          <w:rFonts w:ascii="Times New Roman" w:hAnsi="Times New Roman" w:cs="Times New Roman"/>
          <w:shd w:val="clear" w:color="auto" w:fill="FFFFFF"/>
        </w:rPr>
        <w:t xml:space="preserve">2021) 550 final. Available online: </w:t>
      </w:r>
      <w:hyperlink r:id="rId18" w:history="1">
        <w:r w:rsidRPr="0091107E">
          <w:rPr>
            <w:rStyle w:val="Hyperlink"/>
            <w:rFonts w:ascii="Times New Roman" w:hAnsi="Times New Roman" w:cs="Times New Roman"/>
            <w:shd w:val="clear" w:color="auto" w:fill="FFFFFF"/>
          </w:rPr>
          <w:t>https://eur-lex.europa.eu/legal-content/EN/TXT/HTML/?uri=CELEX%3A52021DC0550</w:t>
        </w:r>
      </w:hyperlink>
      <w:r w:rsidRPr="0091107E">
        <w:rPr>
          <w:rFonts w:ascii="Times New Roman" w:hAnsi="Times New Roman" w:cs="Times New Roman"/>
          <w:shd w:val="clear" w:color="auto" w:fill="FFFFFF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Eurostat (2022). Energy efficiency statistics. Available at: </w:t>
      </w:r>
      <w:hyperlink r:id="rId19" w:history="1">
        <w:r w:rsidRPr="0091107E">
          <w:rPr>
            <w:rStyle w:val="Hyperlink"/>
            <w:rFonts w:ascii="Times New Roman" w:hAnsi="Times New Roman" w:cs="Times New Roman"/>
          </w:rPr>
          <w:t>https://ec.europa.eu/eurostat/statistics-explained/index.php?title=Energy_efficiency_statistics</w:t>
        </w:r>
      </w:hyperlink>
      <w:r w:rsidRPr="0091107E">
        <w:rPr>
          <w:rFonts w:ascii="Times New Roman" w:hAnsi="Times New Roman" w:cs="Times New Roman"/>
        </w:rPr>
        <w:t xml:space="preserve"> (Accessed 10th February 2023).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Eurostat (2023). Shedding light on energy in the EU – 2023 interactive edition. http://doi.org/DOI: 10.2785/640865 (Accessed 30th July 2023).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lang w:val="de-DE"/>
        </w:rPr>
        <w:t xml:space="preserve">Fan, Y., Zhao, X., Han, Z., Li, J., Badiei, A., Akhlaghi, Y. G., &amp; Liu, Z. (2021). </w:t>
      </w:r>
      <w:r w:rsidRPr="0091107E">
        <w:rPr>
          <w:rFonts w:ascii="Times New Roman" w:hAnsi="Times New Roman" w:cs="Times New Roman"/>
        </w:rPr>
        <w:t xml:space="preserve">Scientific and technological progress and future perspectives of the solar assisted heat pump (SAHP) system. </w:t>
      </w:r>
      <w:r w:rsidRPr="0091107E">
        <w:rPr>
          <w:rFonts w:ascii="Times New Roman" w:hAnsi="Times New Roman" w:cs="Times New Roman"/>
          <w:i/>
          <w:iCs/>
        </w:rPr>
        <w:t>Energy</w:t>
      </w:r>
      <w:r w:rsidRPr="0091107E">
        <w:rPr>
          <w:rFonts w:ascii="Times New Roman" w:hAnsi="Times New Roman" w:cs="Times New Roman"/>
        </w:rPr>
        <w:t xml:space="preserve">, 229, 120719. </w:t>
      </w:r>
      <w:hyperlink r:id="rId20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https://doi.org/10.1016/j.energy.2021.120719</w:t>
        </w:r>
      </w:hyperlink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Fischer, D., &amp; Madani, H. (2017). On heat pumps in smart grids: A review. </w:t>
      </w:r>
      <w:r w:rsidRPr="0091107E">
        <w:rPr>
          <w:rFonts w:ascii="Times New Roman" w:hAnsi="Times New Roman" w:cs="Times New Roman"/>
          <w:i/>
          <w:iCs/>
        </w:rPr>
        <w:t>Renewable and Sustainable Energy Reviews</w:t>
      </w:r>
      <w:r w:rsidRPr="0091107E">
        <w:rPr>
          <w:rFonts w:ascii="Times New Roman" w:hAnsi="Times New Roman" w:cs="Times New Roman"/>
        </w:rPr>
        <w:t xml:space="preserve">, 70, 342-357. </w:t>
      </w:r>
      <w:hyperlink r:id="rId21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https://doi.org/10.1016/j.rser.2016.11.182</w:t>
        </w:r>
      </w:hyperlink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lang w:val="de-DE"/>
        </w:rPr>
        <w:t xml:space="preserve">Finkelstein, J., Frankel, D., &amp; Noffsinger, J. (2020). </w:t>
      </w:r>
      <w:r w:rsidRPr="0091107E">
        <w:rPr>
          <w:rFonts w:ascii="Times New Roman" w:hAnsi="Times New Roman" w:cs="Times New Roman"/>
          <w:lang w:val="en-GB"/>
        </w:rPr>
        <w:t xml:space="preserve">Powering up sustainable energy. McKinsey, June 9. Available at: </w:t>
      </w:r>
      <w:hyperlink r:id="rId22" w:history="1">
        <w:r w:rsidRPr="0091107E">
          <w:rPr>
            <w:rStyle w:val="Hyperlink"/>
            <w:rFonts w:ascii="Times New Roman" w:hAnsi="Times New Roman" w:cs="Times New Roman"/>
            <w:lang w:val="en-GB"/>
          </w:rPr>
          <w:t>https://www.mckinsey.com/capabilities/sustainability/our-insights/powering-up-sustainable-energy</w:t>
        </w:r>
      </w:hyperlink>
      <w:r w:rsidRPr="0091107E">
        <w:rPr>
          <w:rFonts w:ascii="Times New Roman" w:hAnsi="Times New Roman" w:cs="Times New Roman"/>
          <w:lang w:val="en-GB"/>
        </w:rPr>
        <w:t xml:space="preserve"> </w:t>
      </w:r>
      <w:r w:rsidRPr="0091107E">
        <w:rPr>
          <w:rFonts w:ascii="Times New Roman" w:hAnsi="Times New Roman" w:cs="Times New Roman"/>
        </w:rPr>
        <w:t>(Accessed 14th March 2023).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Gaur, A. S., Fitiwi, D. Z., &amp; Curtis, J. (2021). Heat pumps and our low-carbon future: A comprehensive review. </w:t>
      </w:r>
      <w:r w:rsidRPr="0091107E">
        <w:rPr>
          <w:rFonts w:ascii="Times New Roman" w:hAnsi="Times New Roman" w:cs="Times New Roman"/>
          <w:i/>
          <w:iCs/>
        </w:rPr>
        <w:t>Energy Research &amp; Social Science</w:t>
      </w:r>
      <w:r w:rsidRPr="0091107E">
        <w:rPr>
          <w:rFonts w:ascii="Times New Roman" w:hAnsi="Times New Roman" w:cs="Times New Roman"/>
        </w:rPr>
        <w:t xml:space="preserve">, 71, 101764. </w:t>
      </w:r>
      <w:hyperlink r:id="rId23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https://doi.org/10.1016/j.erss.2020.101764</w:t>
        </w:r>
      </w:hyperlink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Gleeson, C. P. (2016). Residential heat pump installations: the role of vocational education and training. </w:t>
      </w:r>
      <w:r w:rsidRPr="0091107E">
        <w:rPr>
          <w:rFonts w:ascii="Times New Roman" w:hAnsi="Times New Roman" w:cs="Times New Roman"/>
          <w:i/>
          <w:iCs/>
        </w:rPr>
        <w:t>Building Research &amp; Information</w:t>
      </w:r>
      <w:r w:rsidRPr="0091107E">
        <w:rPr>
          <w:rFonts w:ascii="Times New Roman" w:hAnsi="Times New Roman" w:cs="Times New Roman"/>
        </w:rPr>
        <w:t xml:space="preserve">, 44(4), 394-406. </w:t>
      </w:r>
      <w:proofErr w:type="gramStart"/>
      <w:r w:rsidRPr="0091107E">
        <w:rPr>
          <w:rFonts w:ascii="Times New Roman" w:hAnsi="Times New Roman" w:cs="Times New Roman"/>
        </w:rPr>
        <w:t>h</w:t>
      </w:r>
      <w:proofErr w:type="gramEnd"/>
      <w:r w:rsidRPr="0091107E">
        <w:rPr>
          <w:rFonts w:ascii="Times New Roman" w:hAnsi="Times New Roman" w:cs="Times New Roman"/>
        </w:rPr>
        <w:fldChar w:fldCharType="begin"/>
      </w:r>
      <w:r w:rsidRPr="0091107E">
        <w:rPr>
          <w:rFonts w:ascii="Times New Roman" w:hAnsi="Times New Roman" w:cs="Times New Roman"/>
        </w:rPr>
        <w:instrText xml:space="preserve"> HYPERLINK "https://doi.org/10.1080/09613218.2015.1082701" </w:instrText>
      </w:r>
      <w:r w:rsidRPr="0091107E">
        <w:rPr>
          <w:rFonts w:ascii="Times New Roman" w:hAnsi="Times New Roman" w:cs="Times New Roman"/>
        </w:rPr>
        <w:fldChar w:fldCharType="separate"/>
      </w:r>
      <w:r w:rsidRPr="0091107E">
        <w:rPr>
          <w:rStyle w:val="Hyperlink"/>
          <w:rFonts w:ascii="Times New Roman" w:hAnsi="Times New Roman" w:cs="Times New Roman"/>
        </w:rPr>
        <w:t>ttps://doi.org/10.1080/09613218.2015.1082701</w:t>
      </w:r>
      <w:r w:rsidRPr="0091107E">
        <w:rPr>
          <w:rStyle w:val="Hyperlink"/>
          <w:rFonts w:ascii="Times New Roman" w:hAnsi="Times New Roman" w:cs="Times New Roman"/>
          <w:color w:val="auto"/>
          <w:u w:val="none"/>
        </w:rPr>
        <w:fldChar w:fldCharType="end"/>
      </w:r>
      <w:r w:rsidRPr="0091107E">
        <w:rPr>
          <w:rStyle w:val="Hyperlink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  <w:shd w:val="clear" w:color="auto" w:fill="FFFFFF"/>
        </w:rPr>
        <w:t>Gradziuk, P., Siudek, A., Klepacka, A.M., Florkowski, W.J., Trocewicz, A., &amp; Skorokhod, I. (2022). Heat Pump Installation in Public Buildings: Savings and Environmental Benefits in Underserved Rural Areas. </w:t>
      </w:r>
      <w:r w:rsidRPr="0091107E">
        <w:rPr>
          <w:rStyle w:val="Emphasis"/>
          <w:rFonts w:ascii="Times New Roman" w:hAnsi="Times New Roman" w:cs="Times New Roman"/>
          <w:shd w:val="clear" w:color="auto" w:fill="FFFFFF"/>
        </w:rPr>
        <w:t>Energies</w:t>
      </w:r>
      <w:r w:rsidRPr="0091107E">
        <w:rPr>
          <w:rFonts w:ascii="Times New Roman" w:hAnsi="Times New Roman" w:cs="Times New Roman"/>
          <w:shd w:val="clear" w:color="auto" w:fill="FFFFFF"/>
        </w:rPr>
        <w:t>, </w:t>
      </w:r>
      <w:r w:rsidRPr="0091107E">
        <w:rPr>
          <w:rStyle w:val="Emphasis"/>
          <w:rFonts w:ascii="Times New Roman" w:hAnsi="Times New Roman" w:cs="Times New Roman"/>
          <w:shd w:val="clear" w:color="auto" w:fill="FFFFFF"/>
        </w:rPr>
        <w:t>15</w:t>
      </w:r>
      <w:r w:rsidRPr="0091107E">
        <w:rPr>
          <w:rFonts w:ascii="Times New Roman" w:hAnsi="Times New Roman" w:cs="Times New Roman"/>
          <w:i/>
          <w:iCs/>
          <w:shd w:val="clear" w:color="auto" w:fill="FFFFFF"/>
        </w:rPr>
        <w:t>(21</w:t>
      </w:r>
      <w:r w:rsidRPr="0091107E">
        <w:rPr>
          <w:rFonts w:ascii="Times New Roman" w:hAnsi="Times New Roman" w:cs="Times New Roman"/>
          <w:shd w:val="clear" w:color="auto" w:fill="FFFFFF"/>
        </w:rPr>
        <w:t xml:space="preserve">), 7903. </w:t>
      </w:r>
      <w:hyperlink r:id="rId24" w:history="1">
        <w:r w:rsidRPr="0091107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https://doi.org/10.3390/en15217903</w:t>
        </w:r>
      </w:hyperlink>
      <w:r w:rsidRPr="0091107E">
        <w:rPr>
          <w:rFonts w:ascii="Times New Roman" w:hAnsi="Times New Roman" w:cs="Times New Roman"/>
          <w:shd w:val="clear" w:color="auto" w:fill="FFFFFF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International Energy Agency (2022). The future of heat pumps – world energy outlook special report. Available online: https://iea.blob.core.windows.net/assets/4713780d-c0ae-4686-8c9b-29e782452695/TheFutureofHeatPumps.pdf (Accessed 20th May 2023).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INS (National Institute of Statistics) (2022). The population and housing census. Available online: </w:t>
      </w:r>
      <w:hyperlink r:id="rId25" w:history="1">
        <w:r w:rsidRPr="0091107E">
          <w:rPr>
            <w:rStyle w:val="Hyperlink"/>
            <w:rFonts w:ascii="Times New Roman" w:hAnsi="Times New Roman" w:cs="Times New Roman"/>
          </w:rPr>
          <w:t>https://insse.ro/cms/sites/default/files/field/publicatii/fondul_de_locuinte_2022.pdf</w:t>
        </w:r>
      </w:hyperlink>
      <w:r w:rsidRPr="0091107E">
        <w:rPr>
          <w:rFonts w:ascii="Times New Roman" w:hAnsi="Times New Roman" w:cs="Times New Roman"/>
        </w:rPr>
        <w:t xml:space="preserve"> (Accessed 20th February 2023).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Janhunen, E., Vimpari, J., &amp; Junnila, S. (2022). Evaluation of the financial benefits of a ground-source heat pump pool with demand side management: Is smart profitable for real estate? </w:t>
      </w:r>
      <w:r w:rsidRPr="0091107E">
        <w:rPr>
          <w:rFonts w:ascii="Times New Roman" w:hAnsi="Times New Roman" w:cs="Times New Roman"/>
          <w:i/>
          <w:iCs/>
        </w:rPr>
        <w:t>Sustainable Cities and Society</w:t>
      </w:r>
      <w:r w:rsidRPr="0091107E">
        <w:rPr>
          <w:rFonts w:ascii="Times New Roman" w:hAnsi="Times New Roman" w:cs="Times New Roman"/>
        </w:rPr>
        <w:t xml:space="preserve">, 78, 103604. </w:t>
      </w:r>
      <w:hyperlink r:id="rId26" w:history="1">
        <w:r w:rsidRPr="0091107E">
          <w:rPr>
            <w:rStyle w:val="Hyperlink"/>
            <w:rFonts w:ascii="Times New Roman" w:hAnsi="Times New Roman" w:cs="Times New Roman"/>
          </w:rPr>
          <w:t>https://doi.org/10.1016/j.scs.2021.103604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hyperlink r:id="rId27" w:history="1">
        <w:r w:rsidRPr="0091107E">
          <w:rPr>
            <w:rFonts w:ascii="Times New Roman" w:hAnsi="Times New Roman" w:cs="Times New Roman"/>
            <w:lang w:val="en" w:eastAsia="ro-RO"/>
          </w:rPr>
          <w:t>Karytsas, S</w:t>
        </w:r>
      </w:hyperlink>
      <w:r w:rsidRPr="0091107E">
        <w:rPr>
          <w:rFonts w:ascii="Times New Roman" w:hAnsi="Times New Roman" w:cs="Times New Roman"/>
          <w:lang w:val="en" w:eastAsia="ro-RO"/>
        </w:rPr>
        <w:t>.,</w:t>
      </w:r>
      <w:r w:rsidRPr="0091107E">
        <w:rPr>
          <w:rFonts w:ascii="Times New Roman" w:hAnsi="Times New Roman" w:cs="Times New Roman"/>
          <w:lang w:eastAsia="ro-RO"/>
        </w:rPr>
        <w:t> &amp; </w:t>
      </w:r>
      <w:hyperlink r:id="rId28" w:history="1">
        <w:r w:rsidRPr="0091107E">
          <w:rPr>
            <w:rFonts w:ascii="Times New Roman" w:hAnsi="Times New Roman" w:cs="Times New Roman"/>
            <w:lang w:val="en" w:eastAsia="ro-RO"/>
          </w:rPr>
          <w:t>Choropanitis, I</w:t>
        </w:r>
      </w:hyperlink>
      <w:r w:rsidRPr="0091107E">
        <w:rPr>
          <w:rFonts w:ascii="Times New Roman" w:hAnsi="Times New Roman" w:cs="Times New Roman"/>
          <w:lang w:val="en" w:eastAsia="ro-RO"/>
        </w:rPr>
        <w:t xml:space="preserve">. (2017). </w:t>
      </w:r>
      <w:hyperlink r:id="rId29" w:history="1">
        <w:r w:rsidRPr="0091107E">
          <w:rPr>
            <w:rFonts w:ascii="Times New Roman" w:hAnsi="Times New Roman" w:cs="Times New Roman"/>
            <w:lang w:val="en" w:eastAsia="ro-RO"/>
          </w:rPr>
          <w:t>Barriers against and actions towards renewable energy technologies diffusion: A Principal Component Analysis for residential ground source heat pump (GSHP) systems</w:t>
        </w:r>
      </w:hyperlink>
      <w:r w:rsidRPr="0091107E">
        <w:rPr>
          <w:rFonts w:ascii="Times New Roman" w:hAnsi="Times New Roman" w:cs="Times New Roman"/>
          <w:lang w:val="en" w:eastAsia="ro-RO"/>
        </w:rPr>
        <w:t xml:space="preserve">. </w:t>
      </w:r>
      <w:hyperlink r:id="rId30" w:history="1">
        <w:r w:rsidRPr="0091107E">
          <w:rPr>
            <w:rFonts w:ascii="Times New Roman" w:hAnsi="Times New Roman" w:cs="Times New Roman"/>
            <w:i/>
            <w:iCs/>
            <w:bdr w:val="none" w:sz="0" w:space="0" w:color="auto" w:frame="1"/>
            <w:lang w:val="en" w:eastAsia="ro-RO"/>
          </w:rPr>
          <w:t>Renewable &amp; Sustainable Energy Reviews</w:t>
        </w:r>
      </w:hyperlink>
      <w:r w:rsidRPr="0091107E">
        <w:rPr>
          <w:rFonts w:ascii="Times New Roman" w:hAnsi="Times New Roman" w:cs="Times New Roman"/>
          <w:bdr w:val="none" w:sz="0" w:space="0" w:color="auto" w:frame="1"/>
          <w:lang w:val="en" w:eastAsia="ro-RO"/>
        </w:rPr>
        <w:t>,</w:t>
      </w:r>
      <w:r w:rsidRPr="0091107E">
        <w:rPr>
          <w:rFonts w:ascii="Times New Roman" w:hAnsi="Times New Roman" w:cs="Times New Roman"/>
          <w:lang w:eastAsia="ro-RO"/>
        </w:rPr>
        <w:t xml:space="preserve"> 78, 252–271. </w:t>
      </w:r>
      <w:hyperlink r:id="rId31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https://doi.org/10.1016/j.rser.2017.04.060</w:t>
        </w:r>
      </w:hyperlink>
      <w:bookmarkStart w:id="2" w:name="_Hlk142386513"/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</w:rPr>
        <w:lastRenderedPageBreak/>
        <w:t>Karytsas, S., &amp; Theodoropoulou, H. (2014</w:t>
      </w:r>
      <w:bookmarkEnd w:id="2"/>
      <w:r w:rsidRPr="0091107E">
        <w:rPr>
          <w:rFonts w:ascii="Times New Roman" w:hAnsi="Times New Roman" w:cs="Times New Roman"/>
        </w:rPr>
        <w:t xml:space="preserve">). Public awareness and willingness to adopt ground source heat pumps for domestic heating and cooling. </w:t>
      </w:r>
      <w:r w:rsidRPr="0091107E">
        <w:rPr>
          <w:rFonts w:ascii="Times New Roman" w:hAnsi="Times New Roman" w:cs="Times New Roman"/>
          <w:i/>
          <w:iCs/>
        </w:rPr>
        <w:t>Renewable and Sustainable Energy Reviews</w:t>
      </w:r>
      <w:r w:rsidRPr="0091107E">
        <w:rPr>
          <w:rFonts w:ascii="Times New Roman" w:hAnsi="Times New Roman" w:cs="Times New Roman"/>
        </w:rPr>
        <w:t xml:space="preserve">, 34, 49-57. </w:t>
      </w:r>
      <w:r w:rsidRPr="0091107E">
        <w:rPr>
          <w:rFonts w:ascii="Times New Roman" w:hAnsi="Times New Roman" w:cs="Times New Roman"/>
          <w:shd w:val="clear" w:color="auto" w:fill="FFFFFF"/>
        </w:rPr>
        <w:t>DOI: 10.1016/j.rser.2014.02.008.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Kelly, J.A., Fu, M., &amp; Clinch, J.P. (2016). Residential home heating: The potential for air source heat pump </w:t>
      </w:r>
      <w:proofErr w:type="gramStart"/>
      <w:r w:rsidRPr="0091107E">
        <w:rPr>
          <w:rFonts w:ascii="Times New Roman" w:hAnsi="Times New Roman" w:cs="Times New Roman"/>
        </w:rPr>
        <w:t>technologies</w:t>
      </w:r>
      <w:proofErr w:type="gramEnd"/>
      <w:r w:rsidRPr="0091107E">
        <w:rPr>
          <w:rFonts w:ascii="Times New Roman" w:hAnsi="Times New Roman" w:cs="Times New Roman"/>
        </w:rPr>
        <w:t xml:space="preserve"> as an alternative to solid and liquid fuels. </w:t>
      </w:r>
      <w:r w:rsidRPr="0091107E">
        <w:rPr>
          <w:rFonts w:ascii="Times New Roman" w:hAnsi="Times New Roman" w:cs="Times New Roman"/>
          <w:i/>
          <w:iCs/>
        </w:rPr>
        <w:t>Energy Policy</w:t>
      </w:r>
      <w:r w:rsidRPr="0091107E">
        <w:rPr>
          <w:rFonts w:ascii="Times New Roman" w:hAnsi="Times New Roman" w:cs="Times New Roman"/>
        </w:rPr>
        <w:t xml:space="preserve">, 98, 431-442, </w:t>
      </w:r>
      <w:hyperlink r:id="rId32" w:history="1">
        <w:r w:rsidRPr="0091107E">
          <w:rPr>
            <w:rStyle w:val="Hyperlink"/>
            <w:rFonts w:ascii="Times New Roman" w:hAnsi="Times New Roman" w:cs="Times New Roman"/>
          </w:rPr>
          <w:t>https://doi.org/10.1016/j.enpol.2016.09.016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  <w:shd w:val="clear" w:color="auto" w:fill="FFFFFF"/>
        </w:rPr>
      </w:pPr>
      <w:r w:rsidRPr="0091107E">
        <w:rPr>
          <w:rFonts w:ascii="Times New Roman" w:hAnsi="Times New Roman" w:cs="Times New Roman"/>
        </w:rPr>
        <w:t xml:space="preserve">Kim, J. H., Seong, N. C., &amp; Choi, W. C. (2022). Comparative Evaluation of Predicting Energy Consumption of Absorption Heat Pump with Multilayer Shallow Neural Network Training Algorithms. </w:t>
      </w:r>
      <w:r w:rsidRPr="0091107E">
        <w:rPr>
          <w:rFonts w:ascii="Times New Roman" w:hAnsi="Times New Roman" w:cs="Times New Roman"/>
          <w:i/>
          <w:iCs/>
        </w:rPr>
        <w:t>Buildings</w:t>
      </w:r>
      <w:r w:rsidRPr="0091107E">
        <w:rPr>
          <w:rFonts w:ascii="Times New Roman" w:hAnsi="Times New Roman" w:cs="Times New Roman"/>
        </w:rPr>
        <w:t xml:space="preserve">, 12(1), 13. </w:t>
      </w:r>
      <w:hyperlink r:id="rId33" w:history="1">
        <w:r w:rsidRPr="0091107E">
          <w:rPr>
            <w:rStyle w:val="Hyperlink"/>
            <w:rFonts w:ascii="Times New Roman" w:hAnsi="Times New Roman" w:cs="Times New Roman"/>
            <w:shd w:val="clear" w:color="auto" w:fill="FFFFFF"/>
          </w:rPr>
          <w:t>https://doi.org/10.3390/buildings12010013</w:t>
        </w:r>
      </w:hyperlink>
      <w:r w:rsidRPr="0091107E">
        <w:rPr>
          <w:rStyle w:val="Hyperlink"/>
          <w:rFonts w:ascii="Times New Roman" w:hAnsi="Times New Roman" w:cs="Times New Roman"/>
          <w:shd w:val="clear" w:color="auto" w:fill="FFFFFF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Kircher, K.J., &amp; Zhang, K.M. (2021). Heat purchase agreements could lower barriers to heat pump adoption. </w:t>
      </w:r>
      <w:r w:rsidRPr="0091107E">
        <w:rPr>
          <w:rFonts w:ascii="Times New Roman" w:hAnsi="Times New Roman" w:cs="Times New Roman"/>
          <w:i/>
          <w:iCs/>
        </w:rPr>
        <w:t>Applied Energy</w:t>
      </w:r>
      <w:r w:rsidRPr="0091107E">
        <w:rPr>
          <w:rFonts w:ascii="Times New Roman" w:hAnsi="Times New Roman" w:cs="Times New Roman"/>
        </w:rPr>
        <w:t xml:space="preserve">, 286, 116489. </w:t>
      </w:r>
      <w:hyperlink r:id="rId34" w:history="1">
        <w:r w:rsidRPr="0091107E">
          <w:rPr>
            <w:rStyle w:val="Hyperlink"/>
            <w:rFonts w:ascii="Times New Roman" w:hAnsi="Times New Roman" w:cs="Times New Roman"/>
          </w:rPr>
          <w:t>https://doi.org/10.1016/j.apenergy.2021.116489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Kokoni, S., &amp; Leach, M. (2021). Policy mechanisms to support heat pump deployment: A UK case study based on techno-economic modelling. </w:t>
      </w:r>
      <w:r w:rsidRPr="0091107E">
        <w:rPr>
          <w:rFonts w:ascii="Times New Roman" w:hAnsi="Times New Roman" w:cs="Times New Roman"/>
          <w:i/>
          <w:iCs/>
        </w:rPr>
        <w:t>Renewable and Sustainable Energy Transition</w:t>
      </w:r>
      <w:r w:rsidRPr="0091107E">
        <w:rPr>
          <w:rFonts w:ascii="Times New Roman" w:hAnsi="Times New Roman" w:cs="Times New Roman"/>
        </w:rPr>
        <w:t xml:space="preserve">, 1, 100009. </w:t>
      </w:r>
      <w:hyperlink r:id="rId35" w:history="1">
        <w:r w:rsidRPr="0091107E">
          <w:rPr>
            <w:rStyle w:val="Hyperlink"/>
            <w:rFonts w:ascii="Times New Roman" w:hAnsi="Times New Roman" w:cs="Times New Roman"/>
          </w:rPr>
          <w:t>https://doi.org/10.1016/j.rset.2021.100009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Lennon, B., Velasco-Herrejón, P., &amp; Dunphy, N.P. (2023). Operationalizing participation: Key obstacles and drivers to citizen energy community formation in Europe's energy transition. </w:t>
      </w:r>
      <w:r w:rsidRPr="0091107E">
        <w:rPr>
          <w:rFonts w:ascii="Times New Roman" w:hAnsi="Times New Roman" w:cs="Times New Roman"/>
          <w:i/>
          <w:iCs/>
        </w:rPr>
        <w:t>Science Talks</w:t>
      </w:r>
      <w:r w:rsidRPr="0091107E">
        <w:rPr>
          <w:rFonts w:ascii="Times New Roman" w:hAnsi="Times New Roman" w:cs="Times New Roman"/>
        </w:rPr>
        <w:t xml:space="preserve">, 5, 100104. </w:t>
      </w:r>
      <w:hyperlink r:id="rId36" w:history="1">
        <w:r w:rsidRPr="0091107E">
          <w:rPr>
            <w:rStyle w:val="Hyperlink"/>
            <w:rFonts w:ascii="Times New Roman" w:hAnsi="Times New Roman" w:cs="Times New Roman"/>
          </w:rPr>
          <w:t>https://doi.org/10.1016/j.sctalk.2022.100104</w:t>
        </w:r>
      </w:hyperlink>
      <w:r w:rsidRPr="0091107E">
        <w:rPr>
          <w:rStyle w:val="Hyperlink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Lillemo, S.C., Alfnes, F., Halvorsen, B., &amp; Wik, M. (2013). Households' heating investments: the effect of motives and attitudes on choice of equipment. </w:t>
      </w:r>
      <w:r w:rsidRPr="0091107E">
        <w:rPr>
          <w:rFonts w:ascii="Times New Roman" w:hAnsi="Times New Roman" w:cs="Times New Roman"/>
          <w:i/>
          <w:iCs/>
        </w:rPr>
        <w:t>Biomass and Bioenergy</w:t>
      </w:r>
      <w:r w:rsidRPr="0091107E">
        <w:rPr>
          <w:rFonts w:ascii="Times New Roman" w:hAnsi="Times New Roman" w:cs="Times New Roman"/>
        </w:rPr>
        <w:t>, 57, 4-12.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Lowes, R., Woodman, B., &amp; Fitch-Roy, O. (2019). Policy change, power and the development of Great Britain's Renewable Heat Incentive. </w:t>
      </w:r>
      <w:r w:rsidRPr="0091107E">
        <w:rPr>
          <w:rFonts w:ascii="Times New Roman" w:hAnsi="Times New Roman" w:cs="Times New Roman"/>
          <w:i/>
          <w:iCs/>
        </w:rPr>
        <w:t>Energy Policy</w:t>
      </w:r>
      <w:r w:rsidRPr="0091107E">
        <w:rPr>
          <w:rFonts w:ascii="Times New Roman" w:hAnsi="Times New Roman" w:cs="Times New Roman"/>
        </w:rPr>
        <w:t xml:space="preserve">, 131, 410-421, </w:t>
      </w:r>
      <w:hyperlink r:id="rId37" w:history="1">
        <w:r w:rsidRPr="0091107E">
          <w:rPr>
            <w:rStyle w:val="Hyperlink"/>
            <w:rFonts w:ascii="Times New Roman" w:hAnsi="Times New Roman" w:cs="Times New Roman"/>
          </w:rPr>
          <w:t>https://doi.org/10.1016/j.enpol.2019.04.041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lang w:val="en-GB"/>
        </w:rPr>
      </w:pPr>
      <w:r w:rsidRPr="0091107E">
        <w:rPr>
          <w:rFonts w:ascii="Times New Roman" w:hAnsi="Times New Roman" w:cs="Times New Roman"/>
          <w:lang w:val="en-GB"/>
        </w:rPr>
        <w:t xml:space="preserve">McAndrew, R., Mulcahy, R., Gordon, R., &amp; Russell-Bennett, R. (2021). Household energy efficiency interventions: A systematic literature review. </w:t>
      </w:r>
      <w:r w:rsidRPr="0091107E">
        <w:rPr>
          <w:rFonts w:ascii="Times New Roman" w:hAnsi="Times New Roman" w:cs="Times New Roman"/>
          <w:i/>
          <w:iCs/>
          <w:lang w:val="en-GB"/>
        </w:rPr>
        <w:t>Energy Policy</w:t>
      </w:r>
      <w:r w:rsidRPr="0091107E">
        <w:rPr>
          <w:rFonts w:ascii="Times New Roman" w:hAnsi="Times New Roman" w:cs="Times New Roman"/>
          <w:lang w:val="en-GB"/>
        </w:rPr>
        <w:t xml:space="preserve">, 150, 112136. </w:t>
      </w:r>
      <w:hyperlink r:id="rId38" w:history="1">
        <w:r w:rsidRPr="0091107E">
          <w:rPr>
            <w:rStyle w:val="Hyperlink"/>
            <w:rFonts w:ascii="Times New Roman" w:hAnsi="Times New Roman" w:cs="Times New Roman"/>
            <w:lang w:val="en-GB"/>
          </w:rPr>
          <w:t>https://doi.org/10.1016/j.enpol.2021.112136</w:t>
        </w:r>
      </w:hyperlink>
      <w:r w:rsidRPr="0091107E">
        <w:rPr>
          <w:rFonts w:ascii="Times New Roman" w:hAnsi="Times New Roman" w:cs="Times New Roman"/>
          <w:lang w:val="en-GB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Meles, T. H., &amp; Ryan, L. (2022). Adoption of renewable home heating systems: An agent-based model of heat pumps in Ireland. </w:t>
      </w:r>
      <w:r w:rsidRPr="0091107E">
        <w:rPr>
          <w:rFonts w:ascii="Times New Roman" w:hAnsi="Times New Roman" w:cs="Times New Roman"/>
          <w:i/>
          <w:iCs/>
        </w:rPr>
        <w:t>Renewable and Sustainable Energy Reviews</w:t>
      </w:r>
      <w:r w:rsidRPr="0091107E">
        <w:rPr>
          <w:rFonts w:ascii="Times New Roman" w:hAnsi="Times New Roman" w:cs="Times New Roman"/>
        </w:rPr>
        <w:t xml:space="preserve">, 169, 112853. </w:t>
      </w:r>
      <w:hyperlink r:id="rId39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https://doi.org/10.1016/j.rser.2022.112853</w:t>
        </w:r>
      </w:hyperlink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Hyperlink"/>
          <w:rFonts w:ascii="Times New Roman" w:hAnsi="Times New Roman" w:cs="Times New Roman"/>
        </w:rPr>
      </w:pPr>
      <w:hyperlink r:id="rId40" w:history="1">
        <w:r w:rsidRPr="0091107E">
          <w:rPr>
            <w:rFonts w:ascii="Times New Roman" w:hAnsi="Times New Roman" w:cs="Times New Roman"/>
            <w:lang w:val="de-DE" w:eastAsia="ro-RO"/>
          </w:rPr>
          <w:t>Moghaddam, I.G</w:t>
        </w:r>
      </w:hyperlink>
      <w:r w:rsidRPr="0091107E">
        <w:rPr>
          <w:rFonts w:ascii="Times New Roman" w:hAnsi="Times New Roman" w:cs="Times New Roman"/>
          <w:lang w:val="de-DE" w:eastAsia="ro-RO"/>
        </w:rPr>
        <w:t>., </w:t>
      </w:r>
      <w:hyperlink r:id="rId41" w:history="1">
        <w:r w:rsidRPr="0091107E">
          <w:rPr>
            <w:rFonts w:ascii="Times New Roman" w:hAnsi="Times New Roman" w:cs="Times New Roman"/>
            <w:lang w:val="de-DE" w:eastAsia="ro-RO"/>
          </w:rPr>
          <w:t>Saniei, M</w:t>
        </w:r>
      </w:hyperlink>
      <w:r w:rsidRPr="0091107E">
        <w:rPr>
          <w:rFonts w:ascii="Times New Roman" w:hAnsi="Times New Roman" w:cs="Times New Roman"/>
          <w:lang w:val="de-DE" w:eastAsia="ro-RO"/>
        </w:rPr>
        <w:t xml:space="preserve">., &amp; </w:t>
      </w:r>
      <w:hyperlink r:id="rId42" w:history="1">
        <w:r w:rsidRPr="0091107E">
          <w:rPr>
            <w:rFonts w:ascii="Times New Roman" w:hAnsi="Times New Roman" w:cs="Times New Roman"/>
            <w:lang w:val="de-DE" w:eastAsia="ro-RO"/>
          </w:rPr>
          <w:t>Mashhour, E</w:t>
        </w:r>
      </w:hyperlink>
      <w:r w:rsidRPr="0091107E">
        <w:rPr>
          <w:rFonts w:ascii="Times New Roman" w:hAnsi="Times New Roman" w:cs="Times New Roman"/>
          <w:lang w:val="de-DE" w:eastAsia="ro-RO"/>
        </w:rPr>
        <w:t xml:space="preserve">. </w:t>
      </w:r>
      <w:r w:rsidRPr="0091107E">
        <w:rPr>
          <w:rFonts w:ascii="Times New Roman" w:hAnsi="Times New Roman" w:cs="Times New Roman"/>
          <w:lang w:val="en" w:eastAsia="ro-RO"/>
        </w:rPr>
        <w:t xml:space="preserve">(2016). </w:t>
      </w:r>
      <w:hyperlink r:id="rId43" w:history="1">
        <w:r w:rsidRPr="0091107E">
          <w:rPr>
            <w:rFonts w:ascii="Times New Roman" w:hAnsi="Times New Roman" w:cs="Times New Roman"/>
            <w:lang w:val="en" w:eastAsia="ro-RO"/>
          </w:rPr>
          <w:t>Improvement of energy performance employing electrical heat pump in scheduling a residential energy hub</w:t>
        </w:r>
      </w:hyperlink>
      <w:r w:rsidRPr="0091107E">
        <w:rPr>
          <w:rFonts w:ascii="Times New Roman" w:hAnsi="Times New Roman" w:cs="Times New Roman"/>
          <w:lang w:val="en" w:eastAsia="ro-RO"/>
        </w:rPr>
        <w:t xml:space="preserve">. </w:t>
      </w:r>
      <w:r w:rsidRPr="0091107E">
        <w:rPr>
          <w:rFonts w:ascii="Times New Roman" w:hAnsi="Times New Roman" w:cs="Times New Roman"/>
          <w:i/>
          <w:iCs/>
          <w:lang w:val="en" w:eastAsia="ro-RO"/>
        </w:rPr>
        <w:t>International Transactions on Electrical Energy Systems</w:t>
      </w:r>
      <w:r w:rsidRPr="0091107E">
        <w:rPr>
          <w:rFonts w:ascii="Times New Roman" w:hAnsi="Times New Roman" w:cs="Times New Roman"/>
          <w:lang w:val="en" w:eastAsia="ro-RO"/>
        </w:rPr>
        <w:t>,</w:t>
      </w:r>
      <w:r w:rsidRPr="0091107E">
        <w:rPr>
          <w:rFonts w:ascii="Times New Roman" w:hAnsi="Times New Roman" w:cs="Times New Roman"/>
          <w:lang w:eastAsia="ro-RO"/>
        </w:rPr>
        <w:t xml:space="preserve"> 26(12), 2618–2642. </w:t>
      </w:r>
      <w:hyperlink r:id="rId44" w:history="1">
        <w:r w:rsidRPr="0091107E">
          <w:rPr>
            <w:rStyle w:val="Hyperlink"/>
            <w:rFonts w:ascii="Times New Roman" w:hAnsi="Times New Roman" w:cs="Times New Roman"/>
          </w:rPr>
          <w:t>https://doi.org/10.1002/etep.2224</w:t>
        </w:r>
      </w:hyperlink>
      <w:r w:rsidRPr="0091107E">
        <w:rPr>
          <w:rStyle w:val="Hyperlink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 xml:space="preserve">Olympios, A.V., Sapin, P., Freeman, J., Olkis, C., &amp; Markides, C.N. (2022). Operational optimisation of an air-source heat pump system with thermal energy storage for domestic applications. </w:t>
      </w:r>
      <w:r w:rsidRPr="0091107E">
        <w:rPr>
          <w:rFonts w:ascii="Times New Roman" w:hAnsi="Times New Roman" w:cs="Times New Roman"/>
          <w:i/>
          <w:iCs/>
        </w:rPr>
        <w:t>Energy Conversion and Management</w:t>
      </w:r>
      <w:r w:rsidRPr="0091107E">
        <w:rPr>
          <w:rFonts w:ascii="Times New Roman" w:hAnsi="Times New Roman" w:cs="Times New Roman"/>
        </w:rPr>
        <w:t xml:space="preserve">, 273, 116426. </w:t>
      </w:r>
      <w:hyperlink r:id="rId45" w:history="1">
        <w:r w:rsidRPr="0091107E">
          <w:rPr>
            <w:rStyle w:val="Hyperlink"/>
            <w:rFonts w:ascii="Times New Roman" w:hAnsi="Times New Roman" w:cs="Times New Roman"/>
          </w:rPr>
          <w:t>https://doi.org/10.1016/j.enconman.2022.116426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lastRenderedPageBreak/>
        <w:t xml:space="preserve">Peñaloza, D., Mata, </w:t>
      </w:r>
      <w:proofErr w:type="gramStart"/>
      <w:r w:rsidRPr="0091107E">
        <w:rPr>
          <w:rFonts w:ascii="Times New Roman" w:hAnsi="Times New Roman" w:cs="Times New Roman"/>
        </w:rPr>
        <w:t>É.,</w:t>
      </w:r>
      <w:proofErr w:type="gramEnd"/>
      <w:r w:rsidRPr="0091107E">
        <w:rPr>
          <w:rFonts w:ascii="Times New Roman" w:hAnsi="Times New Roman" w:cs="Times New Roman"/>
        </w:rPr>
        <w:t xml:space="preserve"> Fransson, N., Fridén, H., Samperio, Á., Quijano, A., &amp; Cuneo, A. (2022). Social and market acceptance of photovoltaic panels and heat pumps in Europe: A literature review and survey. </w:t>
      </w:r>
      <w:r w:rsidRPr="0091107E">
        <w:rPr>
          <w:rFonts w:ascii="Times New Roman" w:hAnsi="Times New Roman" w:cs="Times New Roman"/>
          <w:i/>
          <w:iCs/>
        </w:rPr>
        <w:t>Renewable and Sustainable Energy Reviews</w:t>
      </w:r>
      <w:r w:rsidRPr="0091107E">
        <w:rPr>
          <w:rFonts w:ascii="Times New Roman" w:hAnsi="Times New Roman" w:cs="Times New Roman"/>
        </w:rPr>
        <w:t xml:space="preserve">, 155, 111867. </w:t>
      </w:r>
      <w:hyperlink r:id="rId46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https://doi.org/10.1016/j.rser.2021.111867</w:t>
        </w:r>
      </w:hyperlink>
      <w:bookmarkStart w:id="3" w:name="_Hlk142387325"/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lang w:val="de-DE"/>
        </w:rPr>
        <w:t>Reid, L., &amp; Ellsworth-Krebs</w:t>
      </w:r>
      <w:bookmarkEnd w:id="3"/>
      <w:r w:rsidRPr="0091107E">
        <w:rPr>
          <w:rFonts w:ascii="Times New Roman" w:hAnsi="Times New Roman" w:cs="Times New Roman"/>
          <w:lang w:val="de-DE"/>
        </w:rPr>
        <w:t xml:space="preserve">, K. (2021). </w:t>
      </w:r>
      <w:r w:rsidRPr="0091107E">
        <w:rPr>
          <w:rFonts w:ascii="Times New Roman" w:hAnsi="Times New Roman" w:cs="Times New Roman"/>
        </w:rPr>
        <w:t xml:space="preserve">Demanding expectations: Exploring the experience of distributed heat generation in Europe. </w:t>
      </w:r>
      <w:r w:rsidRPr="0091107E">
        <w:rPr>
          <w:rFonts w:ascii="Times New Roman" w:hAnsi="Times New Roman" w:cs="Times New Roman"/>
          <w:i/>
          <w:iCs/>
        </w:rPr>
        <w:t>Energy Research &amp; Social Science</w:t>
      </w:r>
      <w:r w:rsidRPr="0091107E">
        <w:rPr>
          <w:rFonts w:ascii="Times New Roman" w:hAnsi="Times New Roman" w:cs="Times New Roman"/>
        </w:rPr>
        <w:t xml:space="preserve">, 71, 101821. </w:t>
      </w:r>
      <w:hyperlink r:id="rId47" w:history="1">
        <w:r w:rsidRPr="0091107E">
          <w:rPr>
            <w:rStyle w:val="Hyperlink"/>
            <w:rFonts w:ascii="Times New Roman" w:hAnsi="Times New Roman" w:cs="Times New Roman"/>
          </w:rPr>
          <w:t>https://doi.org/10.1016/j.erss.2020.101821</w:t>
        </w:r>
      </w:hyperlink>
      <w:r w:rsidRPr="0091107E">
        <w:rPr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Style w:val="anchor-text"/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  <w:lang w:val="en-GB"/>
        </w:rPr>
        <w:t xml:space="preserve">Renaldi, R., Kiprakis, A., &amp; Friedrich, D. (2017). An optimisation framework for thermal energy storage integration in a residential heat pump heating system. </w:t>
      </w:r>
      <w:r w:rsidRPr="0091107E">
        <w:rPr>
          <w:rFonts w:ascii="Times New Roman" w:hAnsi="Times New Roman" w:cs="Times New Roman"/>
          <w:i/>
          <w:iCs/>
          <w:lang w:val="en-GB"/>
        </w:rPr>
        <w:t>Applied Energy</w:t>
      </w:r>
      <w:r w:rsidRPr="0091107E">
        <w:rPr>
          <w:rFonts w:ascii="Times New Roman" w:hAnsi="Times New Roman" w:cs="Times New Roman"/>
          <w:lang w:val="en-GB"/>
        </w:rPr>
        <w:t xml:space="preserve">, 186, 520–529. </w:t>
      </w:r>
      <w:hyperlink r:id="rId48" w:tgtFrame="_blank" w:tooltip="Persistent link using digital object identifier" w:history="1">
        <w:r w:rsidRPr="0091107E">
          <w:rPr>
            <w:rStyle w:val="anchor-text"/>
            <w:rFonts w:ascii="Times New Roman" w:hAnsi="Times New Roman" w:cs="Times New Roman"/>
          </w:rPr>
          <w:t>https://doi.org/10.1016/j.apenergy.2016.02.067</w:t>
        </w:r>
      </w:hyperlink>
      <w:r w:rsidRPr="0091107E">
        <w:rPr>
          <w:rStyle w:val="anchor-text"/>
          <w:rFonts w:ascii="Times New Roman" w:hAnsi="Times New Roman" w:cs="Times New Roman"/>
        </w:rPr>
        <w:t>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</w:rPr>
      </w:pPr>
      <w:r w:rsidRPr="0091107E">
        <w:rPr>
          <w:rFonts w:ascii="Times New Roman" w:hAnsi="Times New Roman" w:cs="Times New Roman"/>
        </w:rPr>
        <w:t>Sanner, B. (2017). Ground Source Heat Pumps–history, development, current status, and future prospects. In 12th IEA Heat Pump Conference (pp. 1-14).</w:t>
      </w:r>
      <w:bookmarkStart w:id="4" w:name="_Hlk142382866"/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lang w:val="en-GB"/>
        </w:rPr>
      </w:pPr>
      <w:r w:rsidRPr="0091107E">
        <w:rPr>
          <w:rFonts w:ascii="Times New Roman" w:hAnsi="Times New Roman" w:cs="Times New Roman"/>
          <w:lang w:val="en-GB"/>
        </w:rPr>
        <w:t xml:space="preserve">Shehmir J. (2022). Top 5 Digital Technologies Transforming the Energy Sector. Available at: </w:t>
      </w:r>
      <w:hyperlink r:id="rId49" w:history="1">
        <w:r w:rsidRPr="0091107E">
          <w:rPr>
            <w:rStyle w:val="Hyperlink"/>
            <w:rFonts w:ascii="Times New Roman" w:hAnsi="Times New Roman" w:cs="Times New Roman"/>
            <w:lang w:val="en-GB"/>
          </w:rPr>
          <w:t>https://research.aimultiple.com/digital-transformation-in-energy-industry</w:t>
        </w:r>
      </w:hyperlink>
      <w:r w:rsidRPr="0091107E">
        <w:rPr>
          <w:rFonts w:ascii="Times New Roman" w:hAnsi="Times New Roman" w:cs="Times New Roman"/>
          <w:lang w:val="en-GB"/>
        </w:rPr>
        <w:t xml:space="preserve"> (Accessed 12th May 2023).</w:t>
      </w:r>
    </w:p>
    <w:p w:rsidR="0091107E" w:rsidRPr="0091107E" w:rsidRDefault="0091107E" w:rsidP="0091107E">
      <w:pPr>
        <w:pStyle w:val="Bibliography"/>
        <w:jc w:val="both"/>
        <w:rPr>
          <w:rFonts w:ascii="Times New Roman" w:hAnsi="Times New Roman" w:cs="Times New Roman"/>
          <w:lang w:val="en-GB"/>
        </w:rPr>
      </w:pPr>
      <w:r w:rsidRPr="0091107E">
        <w:rPr>
          <w:rFonts w:ascii="Times New Roman" w:hAnsi="Times New Roman" w:cs="Times New Roman"/>
        </w:rPr>
        <w:t>Sivagami, P., &amp; Jothi Swaroopan</w:t>
      </w:r>
      <w:bookmarkEnd w:id="4"/>
      <w:r w:rsidRPr="0091107E">
        <w:rPr>
          <w:rFonts w:ascii="Times New Roman" w:hAnsi="Times New Roman" w:cs="Times New Roman"/>
        </w:rPr>
        <w:t xml:space="preserve">, N.M. (2020). Smart methodology for performance improvement of energy sources for home application. </w:t>
      </w:r>
      <w:r w:rsidRPr="0091107E">
        <w:rPr>
          <w:rFonts w:ascii="Times New Roman" w:hAnsi="Times New Roman" w:cs="Times New Roman"/>
          <w:i/>
          <w:iCs/>
        </w:rPr>
        <w:t>Microprocessors and Microsystems</w:t>
      </w:r>
      <w:r w:rsidRPr="0091107E">
        <w:rPr>
          <w:rFonts w:ascii="Times New Roman" w:hAnsi="Times New Roman" w:cs="Times New Roman"/>
        </w:rPr>
        <w:t xml:space="preserve">, 74, 103042. </w:t>
      </w:r>
      <w:hyperlink r:id="rId50" w:history="1">
        <w:r w:rsidRPr="0091107E">
          <w:rPr>
            <w:rStyle w:val="Hyperlink"/>
            <w:rFonts w:ascii="Times New Roman" w:hAnsi="Times New Roman" w:cs="Times New Roman"/>
          </w:rPr>
          <w:t>https://doi.org/10.1016/j.micpro.2020.103042</w:t>
        </w:r>
      </w:hyperlink>
      <w:r w:rsidRPr="0091107E">
        <w:rPr>
          <w:rFonts w:ascii="Times New Roman" w:hAnsi="Times New Roman" w:cs="Times New Roman"/>
          <w:lang w:val="en-GB"/>
        </w:rPr>
        <w:t>.</w:t>
      </w:r>
    </w:p>
    <w:p w:rsidR="0091107E" w:rsidRPr="0091107E" w:rsidRDefault="0091107E" w:rsidP="0091107E">
      <w:pPr>
        <w:pStyle w:val="ListParagraph"/>
        <w:tabs>
          <w:tab w:val="left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bookmarkStart w:id="5" w:name="_GoBack"/>
      <w:bookmarkEnd w:id="5"/>
      <w:r w:rsidRPr="0091107E">
        <w:rPr>
          <w:rFonts w:ascii="Times New Roman" w:hAnsi="Times New Roman" w:cs="Times New Roman"/>
        </w:rPr>
        <w:t xml:space="preserve">Smith, M., Bevacqua, A., Tembe, S., &amp; Lal, P. (2021). Life cycle analysis (LCA) of residential ground source heat pump systems: A comparative analysis of energy efficiency in New Jersey. </w:t>
      </w:r>
      <w:r w:rsidRPr="0091107E">
        <w:rPr>
          <w:rFonts w:ascii="Times New Roman" w:hAnsi="Times New Roman" w:cs="Times New Roman"/>
          <w:i/>
          <w:iCs/>
        </w:rPr>
        <w:t>Sustainable Energy Technologies and Assessments</w:t>
      </w:r>
      <w:r w:rsidRPr="0091107E">
        <w:rPr>
          <w:rFonts w:ascii="Times New Roman" w:hAnsi="Times New Roman" w:cs="Times New Roman"/>
        </w:rPr>
        <w:t>, 47, 101364. https://doi.org/10.1016/j.seta.2021.101364</w:t>
      </w:r>
    </w:p>
    <w:p w:rsidR="001A6759" w:rsidRPr="00C368B2" w:rsidRDefault="001A6759" w:rsidP="0091107E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en-GB"/>
        </w:rPr>
      </w:pPr>
    </w:p>
    <w:p w:rsidR="000F0EDB" w:rsidRPr="00E75505" w:rsidRDefault="000F0EDB" w:rsidP="0091107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sectPr w:rsidR="000F0EDB" w:rsidRPr="00E75505">
      <w:footerReference w:type="default" r:id="rId5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F4" w:rsidRDefault="00F229F4" w:rsidP="00C45592">
      <w:pPr>
        <w:spacing w:after="0" w:line="240" w:lineRule="auto"/>
      </w:pPr>
      <w:r>
        <w:separator/>
      </w:r>
    </w:p>
  </w:endnote>
  <w:endnote w:type="continuationSeparator" w:id="0">
    <w:p w:rsidR="00F229F4" w:rsidRDefault="00F229F4" w:rsidP="00C45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15005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2528A" w:rsidRDefault="00725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107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2528A" w:rsidRDefault="007252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F4" w:rsidRDefault="00F229F4" w:rsidP="00C45592">
      <w:pPr>
        <w:spacing w:after="0" w:line="240" w:lineRule="auto"/>
      </w:pPr>
      <w:r>
        <w:separator/>
      </w:r>
    </w:p>
  </w:footnote>
  <w:footnote w:type="continuationSeparator" w:id="0">
    <w:p w:rsidR="00F229F4" w:rsidRDefault="00F229F4" w:rsidP="00C45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3D6D"/>
    <w:multiLevelType w:val="hybridMultilevel"/>
    <w:tmpl w:val="7916DB94"/>
    <w:lvl w:ilvl="0" w:tplc="6988E2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2614ACC"/>
    <w:multiLevelType w:val="hybridMultilevel"/>
    <w:tmpl w:val="9620C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4B"/>
    <w:rsid w:val="00061B08"/>
    <w:rsid w:val="0008090A"/>
    <w:rsid w:val="000F0EDB"/>
    <w:rsid w:val="0011666F"/>
    <w:rsid w:val="00117EC0"/>
    <w:rsid w:val="001339DD"/>
    <w:rsid w:val="00150013"/>
    <w:rsid w:val="001A41A3"/>
    <w:rsid w:val="001A6759"/>
    <w:rsid w:val="0021314D"/>
    <w:rsid w:val="00291291"/>
    <w:rsid w:val="002D7497"/>
    <w:rsid w:val="002E0DA0"/>
    <w:rsid w:val="0031114B"/>
    <w:rsid w:val="00315F7C"/>
    <w:rsid w:val="003603A5"/>
    <w:rsid w:val="00447D57"/>
    <w:rsid w:val="004C1766"/>
    <w:rsid w:val="00514397"/>
    <w:rsid w:val="005C3778"/>
    <w:rsid w:val="005D3031"/>
    <w:rsid w:val="00637575"/>
    <w:rsid w:val="00682C0F"/>
    <w:rsid w:val="006C14A3"/>
    <w:rsid w:val="0072528A"/>
    <w:rsid w:val="00776927"/>
    <w:rsid w:val="00782A08"/>
    <w:rsid w:val="00804AE2"/>
    <w:rsid w:val="00840C2E"/>
    <w:rsid w:val="008803C1"/>
    <w:rsid w:val="008A702C"/>
    <w:rsid w:val="008D376B"/>
    <w:rsid w:val="008E4402"/>
    <w:rsid w:val="008F0B70"/>
    <w:rsid w:val="0090107D"/>
    <w:rsid w:val="00903D42"/>
    <w:rsid w:val="0091107E"/>
    <w:rsid w:val="009D5B32"/>
    <w:rsid w:val="00AB4135"/>
    <w:rsid w:val="00AD372B"/>
    <w:rsid w:val="00AD4F61"/>
    <w:rsid w:val="00AE006D"/>
    <w:rsid w:val="00B021E1"/>
    <w:rsid w:val="00B53E63"/>
    <w:rsid w:val="00B6500E"/>
    <w:rsid w:val="00C45592"/>
    <w:rsid w:val="00D0707D"/>
    <w:rsid w:val="00D274C4"/>
    <w:rsid w:val="00DB0EDD"/>
    <w:rsid w:val="00E75505"/>
    <w:rsid w:val="00E86457"/>
    <w:rsid w:val="00EE4496"/>
    <w:rsid w:val="00F142A4"/>
    <w:rsid w:val="00F229F4"/>
    <w:rsid w:val="00F254AD"/>
    <w:rsid w:val="00F62BD3"/>
    <w:rsid w:val="00FA700E"/>
    <w:rsid w:val="00FD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C8713-8DA7-4524-A911-2DD202BE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5B3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1107E"/>
    <w:pPr>
      <w:spacing w:after="0" w:line="240" w:lineRule="auto"/>
      <w:ind w:firstLine="720"/>
      <w:jc w:val="both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4F61"/>
    <w:pPr>
      <w:ind w:left="720"/>
      <w:contextualSpacing/>
    </w:pPr>
  </w:style>
  <w:style w:type="paragraph" w:customStyle="1" w:styleId="Default">
    <w:name w:val="Default"/>
    <w:rsid w:val="00D0707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y2iqfc">
    <w:name w:val="y2iqfc"/>
    <w:basedOn w:val="DefaultParagraphFont"/>
    <w:rsid w:val="001A6759"/>
  </w:style>
  <w:style w:type="paragraph" w:styleId="Header">
    <w:name w:val="header"/>
    <w:basedOn w:val="Normal"/>
    <w:link w:val="HeaderChar"/>
    <w:uiPriority w:val="99"/>
    <w:unhideWhenUsed/>
    <w:rsid w:val="00C4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592"/>
  </w:style>
  <w:style w:type="paragraph" w:styleId="Footer">
    <w:name w:val="footer"/>
    <w:basedOn w:val="Normal"/>
    <w:link w:val="FooterChar"/>
    <w:uiPriority w:val="99"/>
    <w:unhideWhenUsed/>
    <w:rsid w:val="00C45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592"/>
  </w:style>
  <w:style w:type="paragraph" w:styleId="Bibliography">
    <w:name w:val="Bibliography"/>
    <w:basedOn w:val="Normal"/>
    <w:next w:val="Normal"/>
    <w:uiPriority w:val="37"/>
    <w:semiHidden/>
    <w:unhideWhenUsed/>
    <w:rsid w:val="0091107E"/>
  </w:style>
  <w:style w:type="character" w:customStyle="1" w:styleId="Heading1Char">
    <w:name w:val="Heading 1 Char"/>
    <w:basedOn w:val="DefaultParagraphFont"/>
    <w:link w:val="Heading1"/>
    <w:uiPriority w:val="9"/>
    <w:rsid w:val="0091107E"/>
    <w:rPr>
      <w:rFonts w:ascii="Times New Roman" w:hAnsi="Times New Roman" w:cs="Times New Roman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unhideWhenUsed/>
    <w:rsid w:val="009110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1107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107E"/>
    <w:rPr>
      <w:color w:val="0563C1" w:themeColor="hyperlink"/>
      <w:u w:val="single"/>
    </w:rPr>
  </w:style>
  <w:style w:type="character" w:customStyle="1" w:styleId="anchor-text">
    <w:name w:val="anchor-text"/>
    <w:basedOn w:val="DefaultParagraphFont"/>
    <w:rsid w:val="0091107E"/>
  </w:style>
  <w:style w:type="character" w:styleId="Emphasis">
    <w:name w:val="Emphasis"/>
    <w:basedOn w:val="DefaultParagraphFont"/>
    <w:uiPriority w:val="20"/>
    <w:qFormat/>
    <w:rsid w:val="009110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16/j.enpol.2021.112709" TargetMode="External"/><Relationship Id="rId18" Type="http://schemas.openxmlformats.org/officeDocument/2006/relationships/hyperlink" Target="https://eur-lex.europa.eu/legal-content/EN/TXT/HTML/?uri=CELEX%3A52021DC0550" TargetMode="External"/><Relationship Id="rId26" Type="http://schemas.openxmlformats.org/officeDocument/2006/relationships/hyperlink" Target="https://doi.org/10.1016/j.scs.2021.103604" TargetMode="External"/><Relationship Id="rId39" Type="http://schemas.openxmlformats.org/officeDocument/2006/relationships/hyperlink" Target="https://doi.org/10.1016/j.rser.2022.112853" TargetMode="External"/><Relationship Id="rId21" Type="http://schemas.openxmlformats.org/officeDocument/2006/relationships/hyperlink" Target="https://doi.org/10.1016/j.rser.2016.11.182" TargetMode="External"/><Relationship Id="rId34" Type="http://schemas.openxmlformats.org/officeDocument/2006/relationships/hyperlink" Target="https://doi.org/10.1016/j.apenergy.2021.116489" TargetMode="External"/><Relationship Id="rId42" Type="http://schemas.openxmlformats.org/officeDocument/2006/relationships/hyperlink" Target="https://0410q2v0x-y-https-www-webofscience-com.z.e-nformation.ro/wos/author/record/2210125" TargetMode="External"/><Relationship Id="rId47" Type="http://schemas.openxmlformats.org/officeDocument/2006/relationships/hyperlink" Target="https://doi.org/10.1016/j.erss.2020.101821" TargetMode="External"/><Relationship Id="rId50" Type="http://schemas.openxmlformats.org/officeDocument/2006/relationships/hyperlink" Target="https://doi.org/10.1016/j.micpro.2020.103042" TargetMode="External"/><Relationship Id="rId7" Type="http://schemas.openxmlformats.org/officeDocument/2006/relationships/hyperlink" Target="https://0410q2v0x-y-https-www-webofscience-com.z.e-nformation.ro/wos/author/record/2300760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B978-0-12-805349-2.00004-2" TargetMode="External"/><Relationship Id="rId29" Type="http://schemas.openxmlformats.org/officeDocument/2006/relationships/hyperlink" Target="https://0410q2v0x-y-https-www-webofscience-com.z.e-nformation.ro/wos/woscc/full-record/WOS:000407185900020" TargetMode="External"/><Relationship Id="rId11" Type="http://schemas.openxmlformats.org/officeDocument/2006/relationships/hyperlink" Target="https://doi.org/10.3390/en15072464" TargetMode="External"/><Relationship Id="rId24" Type="http://schemas.openxmlformats.org/officeDocument/2006/relationships/hyperlink" Target="https://doi.org/10.3390/en15217903" TargetMode="External"/><Relationship Id="rId32" Type="http://schemas.openxmlformats.org/officeDocument/2006/relationships/hyperlink" Target="https://doi.org/10.1016/j.enpol.2016.09.016" TargetMode="External"/><Relationship Id="rId37" Type="http://schemas.openxmlformats.org/officeDocument/2006/relationships/hyperlink" Target="https://doi.org/10.1016/j.enpol.2019.04.041" TargetMode="External"/><Relationship Id="rId40" Type="http://schemas.openxmlformats.org/officeDocument/2006/relationships/hyperlink" Target="https://0410q2v0x-y-https-www-webofscience-com.z.e-nformation.ro/wos/author/record/772189" TargetMode="External"/><Relationship Id="rId45" Type="http://schemas.openxmlformats.org/officeDocument/2006/relationships/hyperlink" Target="https://doi.org/10.1016/j.enconman.2022.116426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hyperlink" Target="https://0410q2v0x-y-https-www-webofscience-com.z.e-nformation.ro/wos/author/record/72677" TargetMode="External"/><Relationship Id="rId19" Type="http://schemas.openxmlformats.org/officeDocument/2006/relationships/hyperlink" Target="https://ec.europa.eu/eurostat/statistics-explained/index.php?title=Energy_efficiency_statistics" TargetMode="External"/><Relationship Id="rId31" Type="http://schemas.openxmlformats.org/officeDocument/2006/relationships/hyperlink" Target="https://doi.org/10.1016/j.rser.2017.04.060" TargetMode="External"/><Relationship Id="rId44" Type="http://schemas.openxmlformats.org/officeDocument/2006/relationships/hyperlink" Target="https://doi.org/10.1002/etep.2224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0410q2v0x-y-https-www-webofscience-com.z.e-nformation.ro/wos/author/record/23465590" TargetMode="External"/><Relationship Id="rId14" Type="http://schemas.openxmlformats.org/officeDocument/2006/relationships/hyperlink" Target="https://doi.org/10.3390/en15114080" TargetMode="External"/><Relationship Id="rId22" Type="http://schemas.openxmlformats.org/officeDocument/2006/relationships/hyperlink" Target="https://www.mckinsey.com/capabilities/sustainability/our-insights/powering-up-sustainable-energy" TargetMode="External"/><Relationship Id="rId27" Type="http://schemas.openxmlformats.org/officeDocument/2006/relationships/hyperlink" Target="https://0410q2v0x-y-https-www-webofscience-com.z.e-nformation.ro/wos/author/record/16187595" TargetMode="External"/><Relationship Id="rId30" Type="http://schemas.openxmlformats.org/officeDocument/2006/relationships/hyperlink" Target="javascript:void(0)" TargetMode="External"/><Relationship Id="rId35" Type="http://schemas.openxmlformats.org/officeDocument/2006/relationships/hyperlink" Target="https://doi.org/10.1016/j.rset.2021.100009" TargetMode="External"/><Relationship Id="rId43" Type="http://schemas.openxmlformats.org/officeDocument/2006/relationships/hyperlink" Target="https://0410q2v0x-y-https-www-webofscience-com.z.e-nformation.ro/wos/woscc/full-record/WOS:000393838000006" TargetMode="External"/><Relationship Id="rId48" Type="http://schemas.openxmlformats.org/officeDocument/2006/relationships/hyperlink" Target="https://doi.org/10.1016/j.apenergy.2016.02.067" TargetMode="External"/><Relationship Id="rId8" Type="http://schemas.openxmlformats.org/officeDocument/2006/relationships/hyperlink" Target="https://0410q2v0x-y-https-www-webofscience-com.z.e-nformation.ro/wos/author/record/15865396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news.stanford.edu/2022/01/03/know-gen-z/" TargetMode="External"/><Relationship Id="rId17" Type="http://schemas.openxmlformats.org/officeDocument/2006/relationships/hyperlink" Target="https://eur-lex.europa.eu/resource.html?uri=cellar:b828d165-1c22-11ea-8c1f-01aa75ed71a1.0002.02/DOC_1&amp;format=PDF" TargetMode="External"/><Relationship Id="rId25" Type="http://schemas.openxmlformats.org/officeDocument/2006/relationships/hyperlink" Target="https://insse.ro/cms/sites/default/files/field/publicatii/fondul_de_locuinte_2022.pdf" TargetMode="External"/><Relationship Id="rId33" Type="http://schemas.openxmlformats.org/officeDocument/2006/relationships/hyperlink" Target="https://doi.org/10.3390/buildings12010013" TargetMode="External"/><Relationship Id="rId38" Type="http://schemas.openxmlformats.org/officeDocument/2006/relationships/hyperlink" Target="https://doi.org/10.1016/j.enpol.2021.112136" TargetMode="External"/><Relationship Id="rId46" Type="http://schemas.openxmlformats.org/officeDocument/2006/relationships/hyperlink" Target="https://doi.org/10.1016/j.rser.2021.111867" TargetMode="External"/><Relationship Id="rId20" Type="http://schemas.openxmlformats.org/officeDocument/2006/relationships/hyperlink" Target="https://doi.org/10.1016/j.energy.2021.120719" TargetMode="External"/><Relationship Id="rId41" Type="http://schemas.openxmlformats.org/officeDocument/2006/relationships/hyperlink" Target="https://0410q2v0x-y-https-www-webofscience-com.z.e-nformation.ro/wos/author/record/22239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doi.org/10.1016/j.enpol.2023.113588" TargetMode="External"/><Relationship Id="rId23" Type="http://schemas.openxmlformats.org/officeDocument/2006/relationships/hyperlink" Target="https://doi.org/10.1016/j.erss.2020.101764" TargetMode="External"/><Relationship Id="rId28" Type="http://schemas.openxmlformats.org/officeDocument/2006/relationships/hyperlink" Target="https://0410q2v0x-y-https-www-webofscience-com.z.e-nformation.ro/wos/author/record/6357849" TargetMode="External"/><Relationship Id="rId36" Type="http://schemas.openxmlformats.org/officeDocument/2006/relationships/hyperlink" Target="https://doi.org/10.1016/j.sctalk.2022.100104" TargetMode="External"/><Relationship Id="rId49" Type="http://schemas.openxmlformats.org/officeDocument/2006/relationships/hyperlink" Target="https://research.aimultiple.com/digital-transformation-in-energy-indu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10</Pages>
  <Words>3974</Words>
  <Characters>22654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53</cp:revision>
  <dcterms:created xsi:type="dcterms:W3CDTF">2023-11-01T06:59:00Z</dcterms:created>
  <dcterms:modified xsi:type="dcterms:W3CDTF">2023-11-02T07:23:00Z</dcterms:modified>
</cp:coreProperties>
</file>